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4"/>
              </w:rPr>
              <w:t xml:space="preserve">Постановление Правительства ХМАО - Югры от 24.12.2021 N 578-п</w:t>
              <w:br/>
              <w:t xml:space="preserve">(ред. от 20.10.2023)</w:t>
              <w:br/>
              <w:t xml:space="preserve">"О мерах по реализации государственной программы Ханты-Мансийского автономного округа - Югры "Поддержка занятости населения"</w:t>
              <w:br/>
              <w:t xml:space="preserve">(вместе с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сфере трудовых отношений и государственного управления охраной труда", "Порядком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"Порядком предоставления из бюджета Ханты-Мансийского автономного округа - Югры единовременной финансовой помощи гражданину предпенсионного или пенсионного возраста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"Порядком организации профессионального обучения и дополнительного профессионального образования отдельных категорий граждан", "Порядком реализации мероприятий, направленных на повышение эффективности использования имеющихся трудовых ресурсов и привлечение трудовых ресурсов из других субъектов Российской Федерации для трудоустройства на условиях подпрограммы "Повышение мобильности трудовых ресурсов в автономном округе", "Порядком предоставления мер государственной поддержки гражданам, осуществившим переезд для трудоустройства у работодателя, включенного в подпрограмму "Повышение мобильности трудовых ресурсов в автономном округе", "Порядком предоставления субсидии на поддержку социально значимых программ социально ориентированных некоммерческих организаций инвалидов, в том числе по созданию рабочих мест и обеспечению доступности рабочих мест инвалидов", "Порядком организации профессионального обучения граждан из числа обучающихся 10-х и 11-х классов")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ХАНТЫ-МАНСИЙСКОГО АВТОНОМНОГО ОКРУГА - ЮГРЫ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24 декабря 2021 г. N 578-п</w:t>
      </w:r>
    </w:p>
    <w:p>
      <w:pPr>
        <w:pStyle w:val="2"/>
        <w:jc w:val="center"/>
      </w:pPr>
      <w:r>
        <w:rPr>
          <w:sz w:val="20"/>
        </w:rPr>
      </w:r>
    </w:p>
    <w:p>
      <w:pPr>
        <w:pStyle w:val="2"/>
        <w:jc w:val="center"/>
      </w:pPr>
      <w:r>
        <w:rPr>
          <w:sz w:val="20"/>
        </w:rPr>
        <w:t xml:space="preserve">О МЕРАХ ПО РЕАЛИЗАЦИИ ГОСУДАРСТВЕННОЙ ПРОГРАММЫ</w:t>
      </w:r>
    </w:p>
    <w:p>
      <w:pPr>
        <w:pStyle w:val="2"/>
        <w:jc w:val="center"/>
      </w:pPr>
      <w:r>
        <w:rPr>
          <w:sz w:val="20"/>
        </w:rPr>
        <w:t xml:space="preserve">ХАНТЫ-МАНСИЙСКОГО АВТОНОМНОГО ОКРУГА - ЮГРЫ "ПОДДЕРЖКА</w:t>
      </w:r>
    </w:p>
    <w:p>
      <w:pPr>
        <w:pStyle w:val="2"/>
        <w:jc w:val="center"/>
      </w:pPr>
      <w:r>
        <w:rPr>
          <w:sz w:val="20"/>
        </w:rPr>
        <w:t xml:space="preserve">ЗАНЯТОСТИ НАСЕЛЕНИЯ"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01.04.2022 </w:t>
            </w:r>
            <w:hyperlink w:history="0" r:id="rId7"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118-п</w:t>
              </w:r>
            </w:hyperlink>
            <w:r>
              <w:rPr>
                <w:sz w:val="20"/>
                <w:color w:val="392c69"/>
              </w:rPr>
              <w:t xml:space="preserve">,</w:t>
            </w:r>
          </w:p>
          <w:p>
            <w:pPr>
              <w:pStyle w:val="0"/>
              <w:jc w:val="center"/>
            </w:pPr>
            <w:r>
              <w:rPr>
                <w:sz w:val="20"/>
                <w:color w:val="392c69"/>
              </w:rPr>
              <w:t xml:space="preserve">от 13.05.2022 </w:t>
            </w:r>
            <w:hyperlink w:history="0" r:id="rId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 от 27.05.2022 </w:t>
            </w:r>
            <w:hyperlink w:history="0" r:id="rId9"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color w:val="392c69"/>
              </w:rPr>
              <w:t xml:space="preserve">, от 01.07.2022 </w:t>
            </w:r>
            <w:hyperlink w:history="0" r:id="rId10"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298-п</w:t>
              </w:r>
            </w:hyperlink>
            <w:r>
              <w:rPr>
                <w:sz w:val="20"/>
                <w:color w:val="392c69"/>
              </w:rPr>
              <w:t xml:space="preserve">,</w:t>
            </w:r>
          </w:p>
          <w:p>
            <w:pPr>
              <w:pStyle w:val="0"/>
              <w:jc w:val="center"/>
            </w:pPr>
            <w:r>
              <w:rPr>
                <w:sz w:val="20"/>
                <w:color w:val="392c69"/>
              </w:rPr>
              <w:t xml:space="preserve">от 11.07.2022 </w:t>
            </w:r>
            <w:hyperlink w:history="0" r:id="rId11" w:tooltip="Постановление Правительства ХМАО - Югры от 11.07.2022 N 332-п &quot;О внесении изменений в приложение 8 к постановлению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332-п</w:t>
              </w:r>
            </w:hyperlink>
            <w:r>
              <w:rPr>
                <w:sz w:val="20"/>
                <w:color w:val="392c69"/>
              </w:rPr>
              <w:t xml:space="preserve">, от 23.09.2022 </w:t>
            </w:r>
            <w:hyperlink w:history="0" r:id="rId12"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473-п</w:t>
              </w:r>
            </w:hyperlink>
            <w:r>
              <w:rPr>
                <w:sz w:val="20"/>
                <w:color w:val="392c69"/>
              </w:rPr>
              <w:t xml:space="preserve">, от 07.10.2022 </w:t>
            </w:r>
            <w:hyperlink w:history="0" r:id="rId13" w:tooltip="Постановление Правительства ХМАО - Югры от 07.10.2022 N 50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503-п</w:t>
              </w:r>
            </w:hyperlink>
            <w:r>
              <w:rPr>
                <w:sz w:val="20"/>
                <w:color w:val="392c69"/>
              </w:rPr>
              <w:t xml:space="preserve">,</w:t>
            </w:r>
          </w:p>
          <w:p>
            <w:pPr>
              <w:pStyle w:val="0"/>
              <w:jc w:val="center"/>
            </w:pPr>
            <w:r>
              <w:rPr>
                <w:sz w:val="20"/>
                <w:color w:val="392c69"/>
              </w:rPr>
              <w:t xml:space="preserve">от 14.10.2022 </w:t>
            </w:r>
            <w:hyperlink w:history="0" r:id="rId14"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color w:val="392c69"/>
              </w:rPr>
              <w:t xml:space="preserve">, от 18.11.2022 </w:t>
            </w:r>
            <w:hyperlink w:history="0" r:id="rId15"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609-п</w:t>
              </w:r>
            </w:hyperlink>
            <w:r>
              <w:rPr>
                <w:sz w:val="20"/>
                <w:color w:val="392c69"/>
              </w:rPr>
              <w:t xml:space="preserve">, от 23.12.2022 </w:t>
            </w:r>
            <w:hyperlink w:history="0" r:id="rId16"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color w:val="392c69"/>
              </w:rPr>
              <w:t xml:space="preserve">,</w:t>
            </w:r>
          </w:p>
          <w:p>
            <w:pPr>
              <w:pStyle w:val="0"/>
              <w:jc w:val="center"/>
            </w:pPr>
            <w:r>
              <w:rPr>
                <w:sz w:val="20"/>
                <w:color w:val="392c69"/>
              </w:rPr>
              <w:t xml:space="preserve">от 20.01.2023 </w:t>
            </w:r>
            <w:hyperlink w:history="0" r:id="rId17"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N 17-п</w:t>
              </w:r>
            </w:hyperlink>
            <w:r>
              <w:rPr>
                <w:sz w:val="20"/>
                <w:color w:val="392c69"/>
              </w:rPr>
              <w:t xml:space="preserve">, от 10.02.2023 </w:t>
            </w:r>
            <w:hyperlink w:history="0" r:id="rId18"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color w:val="392c69"/>
              </w:rPr>
              <w:t xml:space="preserve">, от 03.03.2023 </w:t>
            </w:r>
            <w:hyperlink w:history="0" r:id="rId19"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68-п</w:t>
              </w:r>
            </w:hyperlink>
            <w:r>
              <w:rPr>
                <w:sz w:val="20"/>
                <w:color w:val="392c69"/>
              </w:rPr>
              <w:t xml:space="preserve">,</w:t>
            </w:r>
          </w:p>
          <w:p>
            <w:pPr>
              <w:pStyle w:val="0"/>
              <w:jc w:val="center"/>
            </w:pPr>
            <w:r>
              <w:rPr>
                <w:sz w:val="20"/>
                <w:color w:val="392c69"/>
              </w:rPr>
              <w:t xml:space="preserve">от 17.03.2023 </w:t>
            </w:r>
            <w:hyperlink w:history="0" r:id="rId20"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93-п</w:t>
              </w:r>
            </w:hyperlink>
            <w:r>
              <w:rPr>
                <w:sz w:val="20"/>
                <w:color w:val="392c69"/>
              </w:rPr>
              <w:t xml:space="preserve">, от 14.04.2023 </w:t>
            </w:r>
            <w:hyperlink w:history="0" r:id="rId21" w:tooltip="Постановление Правительства ХМАО - Югры от 14.04.2023 N 155-п &quot;О внесении изменения в приложение 19 к постановлению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155-п</w:t>
              </w:r>
            </w:hyperlink>
            <w:r>
              <w:rPr>
                <w:sz w:val="20"/>
                <w:color w:val="392c69"/>
              </w:rPr>
              <w:t xml:space="preserve">, от 14.07.2023 </w:t>
            </w:r>
            <w:hyperlink w:history="0" r:id="rId2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331-п</w:t>
              </w:r>
            </w:hyperlink>
            <w:r>
              <w:rPr>
                <w:sz w:val="20"/>
                <w:color w:val="392c69"/>
              </w:rPr>
              <w:t xml:space="preserve">,</w:t>
            </w:r>
          </w:p>
          <w:p>
            <w:pPr>
              <w:pStyle w:val="0"/>
              <w:jc w:val="center"/>
            </w:pPr>
            <w:r>
              <w:rPr>
                <w:sz w:val="20"/>
                <w:color w:val="392c69"/>
              </w:rPr>
              <w:t xml:space="preserve">от 04.08.2023 </w:t>
            </w:r>
            <w:hyperlink w:history="0" r:id="rId23"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377-п</w:t>
              </w:r>
            </w:hyperlink>
            <w:r>
              <w:rPr>
                <w:sz w:val="20"/>
                <w:color w:val="392c69"/>
              </w:rPr>
              <w:t xml:space="preserve">, от 13.10.2023 </w:t>
            </w:r>
            <w:hyperlink w:history="0" r:id="rId24"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507-п</w:t>
              </w:r>
            </w:hyperlink>
            <w:r>
              <w:rPr>
                <w:sz w:val="20"/>
                <w:color w:val="392c69"/>
              </w:rPr>
              <w:t xml:space="preserve">, от 20.10.2023 </w:t>
            </w:r>
            <w:hyperlink w:history="0" r:id="rId25"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Руководствуясь Законами Ханты-Мансийского автономного округа - Югры от 25 февраля 2003 года </w:t>
      </w:r>
      <w:hyperlink w:history="0" r:id="rId26" w:tooltip="Закон ХМАО от 25.02.2003 N 14-оз (ред. от 04.04.2023) &quot;О нормативных правовых актах Ханты-Мансийского автономного округа - Югры&quot; (принят Думой Ханты-Мансийского автономного округа 07.02.2003) (с изм. и доп., вступающими в силу по истечении 10 дней после дня официального опубликования) {КонсультантПлюс}">
        <w:r>
          <w:rPr>
            <w:sz w:val="20"/>
            <w:color w:val="0000ff"/>
          </w:rPr>
          <w:t xml:space="preserve">N 14-оз</w:t>
        </w:r>
      </w:hyperlink>
      <w:r>
        <w:rPr>
          <w:sz w:val="20"/>
        </w:rPr>
        <w:t xml:space="preserve"> "О нормативных правовых актах Ханты-Мансийского автономного округа - Югры", от 12 октября 2005 года </w:t>
      </w:r>
      <w:hyperlink w:history="0" r:id="rId27" w:tooltip="Закон ХМАО - Югры от 12.10.2005 N 73-оз (ред. от 13.03.2023) &quot;О Правительстве Ханты-Мансийского автономного округа - Югры&quot; (принят Думой Ханты-Мансийского автономного округа - Югры 30.09.2005) {КонсультантПлюс}">
        <w:r>
          <w:rPr>
            <w:sz w:val="20"/>
            <w:color w:val="0000ff"/>
          </w:rPr>
          <w:t xml:space="preserve">N 73-оз</w:t>
        </w:r>
      </w:hyperlink>
      <w:r>
        <w:rPr>
          <w:sz w:val="20"/>
        </w:rPr>
        <w:t xml:space="preserve"> "О Правительстве Ханты-Мансийского автономного округа - Югры", постановлениями Правительства Ханты-Мансийского автономного округа - Югры от 5 августа 2021 года </w:t>
      </w:r>
      <w:hyperlink w:history="0" r:id="rId28" w:tooltip="Постановление Правительства ХМАО - Югры от 05.08.2021 N 289-п (ред. от 19.05.2023) &quot;О порядке разработки и реализации государственных программ Ханты-Мансийского автономного округа - Югры&quot; {КонсультантПлюс}">
        <w:r>
          <w:rPr>
            <w:sz w:val="20"/>
            <w:color w:val="0000ff"/>
          </w:rPr>
          <w:t xml:space="preserve">N 289-п</w:t>
        </w:r>
      </w:hyperlink>
      <w:r>
        <w:rPr>
          <w:sz w:val="20"/>
        </w:rPr>
        <w:t xml:space="preserve"> "О порядке разработки и реализации государственных программ Ханты-Мансийского автономного округа - Югры", от 31 октября 2021 года </w:t>
      </w:r>
      <w:hyperlink w:history="0" r:id="rId29"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N 472-п</w:t>
        </w:r>
      </w:hyperlink>
      <w:r>
        <w:rPr>
          <w:sz w:val="20"/>
        </w:rPr>
        <w:t xml:space="preserve"> "О государственной программе Ханты-Мансийского автономного округа - Югры "Поддержка занятости населения", учитывая решение Общественного совета при Департаменте труда и занятости населения Ханты-Мансийского автономного округа - Югры (протокол заседания от 23 ноября 2021 года N 22), Правительство Ханты-Мансийского автономного округа - Югры постановляет:</w:t>
      </w:r>
    </w:p>
    <w:bookmarkStart w:id="19" w:name="P19"/>
    <w:bookmarkEnd w:id="19"/>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1.1. </w:t>
      </w:r>
      <w:hyperlink w:history="0" w:anchor="P89" w:tooltip="ПАСПОРТ">
        <w:r>
          <w:rPr>
            <w:sz w:val="20"/>
            <w:color w:val="0000ff"/>
          </w:rPr>
          <w:t xml:space="preserve">Паспорт</w:t>
        </w:r>
      </w:hyperlink>
      <w:r>
        <w:rPr>
          <w:sz w:val="20"/>
        </w:rPr>
        <w:t xml:space="preserve"> подпрограммы "Оказание содействия добровольному переселению в Ханты-Мансийский автономный округ - Югру соотечественников, проживающих за рубежом, на 2020 - 2025 годы" (приложение 1).</w:t>
      </w:r>
    </w:p>
    <w:p>
      <w:pPr>
        <w:pStyle w:val="0"/>
        <w:spacing w:before="200" w:line-rule="auto"/>
        <w:ind w:firstLine="540"/>
        <w:jc w:val="both"/>
      </w:pPr>
      <w:r>
        <w:rPr>
          <w:sz w:val="20"/>
        </w:rPr>
        <w:t xml:space="preserve">1.2. </w:t>
      </w:r>
      <w:hyperlink w:history="0" w:anchor="P1555" w:tooltip="Оценка хода реализации">
        <w:r>
          <w:rPr>
            <w:sz w:val="20"/>
            <w:color w:val="0000ff"/>
          </w:rPr>
          <w:t xml:space="preserve">Оценку</w:t>
        </w:r>
      </w:hyperlink>
      <w:r>
        <w:rPr>
          <w:sz w:val="20"/>
        </w:rPr>
        <w:t xml:space="preserve"> хода реализации подпрограммы "Улучшение условий и охраны труда в автономном округе" государственной программы автономного округа "Поддержка занятости населения" (приложение 2).</w:t>
      </w:r>
    </w:p>
    <w:p>
      <w:pPr>
        <w:pStyle w:val="0"/>
        <w:spacing w:before="200" w:line-rule="auto"/>
        <w:ind w:firstLine="540"/>
        <w:jc w:val="both"/>
      </w:pPr>
      <w:r>
        <w:rPr>
          <w:sz w:val="20"/>
        </w:rPr>
        <w:t xml:space="preserve">1.3. </w:t>
      </w:r>
      <w:hyperlink w:history="0" w:anchor="P1978" w:tooltip="ПОРЯДОК">
        <w:r>
          <w:rPr>
            <w:sz w:val="20"/>
            <w:color w:val="0000ff"/>
          </w:rPr>
          <w:t xml:space="preserve">Порядок</w:t>
        </w:r>
      </w:hyperlink>
      <w:r>
        <w:rPr>
          <w:sz w:val="20"/>
        </w:rPr>
        <w:t xml:space="preserve">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сфере трудовых отношений и государственного управления охраной труда (приложение 3).</w:t>
      </w:r>
    </w:p>
    <w:p>
      <w:pPr>
        <w:pStyle w:val="0"/>
        <w:spacing w:before="200" w:line-rule="auto"/>
        <w:ind w:firstLine="540"/>
        <w:jc w:val="both"/>
      </w:pPr>
      <w:r>
        <w:rPr>
          <w:sz w:val="20"/>
        </w:rPr>
        <w:t xml:space="preserve">1.4. </w:t>
      </w:r>
      <w:hyperlink w:history="0" w:anchor="P2008" w:tooltip="ИНФОРМАЦИЯ">
        <w:r>
          <w:rPr>
            <w:sz w:val="20"/>
            <w:color w:val="0000ff"/>
          </w:rPr>
          <w:t xml:space="preserve">Информацию</w:t>
        </w:r>
      </w:hyperlink>
      <w:r>
        <w:rPr>
          <w:sz w:val="20"/>
        </w:rPr>
        <w:t xml:space="preserve"> о работодателях, включенных в подпрограмму 3 "Повышение мобильности трудовых ресурсов в автономном округе" (приложение 4).</w:t>
      </w:r>
    </w:p>
    <w:p>
      <w:pPr>
        <w:pStyle w:val="0"/>
        <w:spacing w:before="200" w:line-rule="auto"/>
        <w:ind w:firstLine="540"/>
        <w:jc w:val="both"/>
      </w:pPr>
      <w:r>
        <w:rPr>
          <w:sz w:val="20"/>
        </w:rPr>
        <w:t xml:space="preserve">1.5. </w:t>
      </w:r>
      <w:hyperlink w:history="0" w:anchor="P2031" w:tooltip="ПОРЯДОК">
        <w:r>
          <w:rPr>
            <w:sz w:val="20"/>
            <w:color w:val="0000ff"/>
          </w:rPr>
          <w:t xml:space="preserve">Порядок</w:t>
        </w:r>
      </w:hyperlink>
      <w:r>
        <w:rPr>
          <w:sz w:val="20"/>
        </w:rPr>
        <w:t xml:space="preserve">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(приложение 5).</w:t>
      </w:r>
    </w:p>
    <w:p>
      <w:pPr>
        <w:pStyle w:val="0"/>
        <w:spacing w:before="200" w:line-rule="auto"/>
        <w:ind w:firstLine="540"/>
        <w:jc w:val="both"/>
      </w:pPr>
      <w:r>
        <w:rPr>
          <w:sz w:val="20"/>
        </w:rPr>
        <w:t xml:space="preserve">1.6. </w:t>
      </w:r>
      <w:hyperlink w:history="0" w:anchor="P2261" w:tooltip="ПОРЯДОК">
        <w:r>
          <w:rPr>
            <w:sz w:val="20"/>
            <w:color w:val="0000ff"/>
          </w:rPr>
          <w:t xml:space="preserve">Порядок</w:t>
        </w:r>
      </w:hyperlink>
      <w:r>
        <w:rPr>
          <w:sz w:val="20"/>
        </w:rPr>
        <w:t xml:space="preserve"> предоставления из бюджета Ханты-Мансийского автономного округа - Югры единовременной финансовой помощи гражданину предпенсионного или пенсионного возраста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(приложение 6).</w:t>
      </w:r>
    </w:p>
    <w:p>
      <w:pPr>
        <w:pStyle w:val="0"/>
        <w:spacing w:before="200" w:line-rule="auto"/>
        <w:ind w:firstLine="540"/>
        <w:jc w:val="both"/>
      </w:pPr>
      <w:r>
        <w:rPr>
          <w:sz w:val="20"/>
        </w:rPr>
        <w:t xml:space="preserve">1.7. </w:t>
      </w:r>
      <w:hyperlink w:history="0" w:anchor="P2424" w:tooltip="ПОРЯДОК">
        <w:r>
          <w:rPr>
            <w:sz w:val="20"/>
            <w:color w:val="0000ff"/>
          </w:rPr>
          <w:t xml:space="preserve">Порядок</w:t>
        </w:r>
      </w:hyperlink>
      <w:r>
        <w:rPr>
          <w:sz w:val="20"/>
        </w:rPr>
        <w:t xml:space="preserve">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(приложение 7).</w:t>
      </w:r>
    </w:p>
    <w:p>
      <w:pPr>
        <w:pStyle w:val="0"/>
        <w:spacing w:before="200" w:line-rule="auto"/>
        <w:ind w:firstLine="540"/>
        <w:jc w:val="both"/>
      </w:pPr>
      <w:r>
        <w:rPr>
          <w:sz w:val="20"/>
        </w:rPr>
        <w:t xml:space="preserve">1.8 - 1.10. Утратили силу с 17 марта 2023 года. - </w:t>
      </w:r>
      <w:hyperlink w:history="0" r:id="rId30"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spacing w:before="200" w:line-rule="auto"/>
        <w:ind w:firstLine="540"/>
        <w:jc w:val="both"/>
      </w:pPr>
      <w:r>
        <w:rPr>
          <w:sz w:val="20"/>
        </w:rPr>
        <w:t xml:space="preserve">1.11. </w:t>
      </w:r>
      <w:hyperlink w:history="0" w:anchor="P3018" w:tooltip="ПОРЯДОК">
        <w:r>
          <w:rPr>
            <w:sz w:val="20"/>
            <w:color w:val="0000ff"/>
          </w:rPr>
          <w:t xml:space="preserve">Порядок</w:t>
        </w:r>
      </w:hyperlink>
      <w:r>
        <w:rPr>
          <w:sz w:val="20"/>
        </w:rPr>
        <w:t xml:space="preserve"> организации профессионального обучения и дополнительного профессионального образования отдельных категорий граждан (приложение 11).</w:t>
      </w:r>
    </w:p>
    <w:p>
      <w:pPr>
        <w:pStyle w:val="0"/>
        <w:spacing w:before="200" w:line-rule="auto"/>
        <w:ind w:firstLine="540"/>
        <w:jc w:val="both"/>
      </w:pPr>
      <w:r>
        <w:rPr>
          <w:sz w:val="20"/>
        </w:rPr>
        <w:t xml:space="preserve">1.12. Утратил силу с 17 марта 2023 года. - </w:t>
      </w:r>
      <w:hyperlink w:history="0" r:id="rId31"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spacing w:before="200" w:line-rule="auto"/>
        <w:ind w:firstLine="540"/>
        <w:jc w:val="both"/>
      </w:pPr>
      <w:r>
        <w:rPr>
          <w:sz w:val="20"/>
        </w:rPr>
        <w:t xml:space="preserve">1.13. </w:t>
      </w:r>
      <w:hyperlink w:history="0" w:anchor="P3378" w:tooltip="ПОРЯДОК">
        <w:r>
          <w:rPr>
            <w:sz w:val="20"/>
            <w:color w:val="0000ff"/>
          </w:rPr>
          <w:t xml:space="preserve">Порядок</w:t>
        </w:r>
      </w:hyperlink>
      <w:r>
        <w:rPr>
          <w:sz w:val="20"/>
        </w:rPr>
        <w:t xml:space="preserve"> реализации мероприятий, направленных на повышение эффективности использования имеющихся трудовых ресурсов и привлечение трудовых ресурсов из других субъектов Российской Федерации для трудоустройства на условиях подпрограммы "Повышение мобильности трудовых ресурсов в автономном округе" (приложение 13).</w:t>
      </w:r>
    </w:p>
    <w:p>
      <w:pPr>
        <w:pStyle w:val="0"/>
        <w:spacing w:before="200" w:line-rule="auto"/>
        <w:ind w:firstLine="540"/>
        <w:jc w:val="both"/>
      </w:pPr>
      <w:r>
        <w:rPr>
          <w:sz w:val="20"/>
        </w:rPr>
        <w:t xml:space="preserve">1.14. </w:t>
      </w:r>
      <w:hyperlink w:history="0" w:anchor="P3583" w:tooltip="ПОРЯДОК">
        <w:r>
          <w:rPr>
            <w:sz w:val="20"/>
            <w:color w:val="0000ff"/>
          </w:rPr>
          <w:t xml:space="preserve">Порядок</w:t>
        </w:r>
      </w:hyperlink>
      <w:r>
        <w:rPr>
          <w:sz w:val="20"/>
        </w:rPr>
        <w:t xml:space="preserve"> предоставления мер государственной поддержки гражданам, осуществившим переезд для трудоустройства у работодателя, включенного в подпрограмму "Повышение мобильности трудовых ресурсов в автономном округе" (приложение 14).</w:t>
      </w:r>
    </w:p>
    <w:p>
      <w:pPr>
        <w:pStyle w:val="0"/>
        <w:spacing w:before="200" w:line-rule="auto"/>
        <w:ind w:firstLine="540"/>
        <w:jc w:val="both"/>
      </w:pPr>
      <w:r>
        <w:rPr>
          <w:sz w:val="20"/>
        </w:rPr>
        <w:t xml:space="preserve">1.15. Утратил силу с 17 марта 2023 года. - </w:t>
      </w:r>
      <w:hyperlink w:history="0" r:id="rId32"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spacing w:before="200" w:line-rule="auto"/>
        <w:ind w:firstLine="540"/>
        <w:jc w:val="both"/>
      </w:pPr>
      <w:r>
        <w:rPr>
          <w:sz w:val="20"/>
        </w:rPr>
        <w:t xml:space="preserve">1.16. Утратил силу с 20 января 2023 года. - </w:t>
      </w:r>
      <w:hyperlink w:history="0" r:id="rId33"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spacing w:before="200" w:line-rule="auto"/>
        <w:ind w:firstLine="540"/>
        <w:jc w:val="both"/>
      </w:pPr>
      <w:r>
        <w:rPr>
          <w:sz w:val="20"/>
        </w:rPr>
        <w:t xml:space="preserve">1.17. </w:t>
      </w:r>
      <w:hyperlink w:history="0" w:anchor="P3730" w:tooltip="ПОРЯДОК">
        <w:r>
          <w:rPr>
            <w:sz w:val="20"/>
            <w:color w:val="0000ff"/>
          </w:rPr>
          <w:t xml:space="preserve">Порядок</w:t>
        </w:r>
      </w:hyperlink>
      <w:r>
        <w:rPr>
          <w:sz w:val="20"/>
        </w:rPr>
        <w:t xml:space="preserve"> предоставления субсидии на поддержку социально значимых программ социально ориентированных некоммерческих организаций инвалидов, в том числе по созданию рабочих мест и обеспечению доступности рабочих мест инвалидов (приложение 17).</w:t>
      </w:r>
    </w:p>
    <w:p>
      <w:pPr>
        <w:pStyle w:val="0"/>
        <w:spacing w:before="200" w:line-rule="auto"/>
        <w:ind w:firstLine="540"/>
        <w:jc w:val="both"/>
      </w:pPr>
      <w:r>
        <w:rPr>
          <w:sz w:val="20"/>
        </w:rPr>
        <w:t xml:space="preserve">1.18. </w:t>
      </w:r>
      <w:hyperlink w:history="0" w:anchor="P3939" w:tooltip="ПЕРЕЧЕНЬ">
        <w:r>
          <w:rPr>
            <w:sz w:val="20"/>
            <w:color w:val="0000ff"/>
          </w:rPr>
          <w:t xml:space="preserve">Перечень</w:t>
        </w:r>
      </w:hyperlink>
      <w:r>
        <w:rPr>
          <w:sz w:val="20"/>
        </w:rPr>
        <w:t xml:space="preserve"> мер, направленных на недопущение формирования задолженности по выплате заработной платы (приложение 18).</w:t>
      </w:r>
    </w:p>
    <w:p>
      <w:pPr>
        <w:pStyle w:val="0"/>
        <w:spacing w:before="200" w:line-rule="auto"/>
        <w:ind w:firstLine="540"/>
        <w:jc w:val="both"/>
      </w:pPr>
      <w:r>
        <w:rPr>
          <w:sz w:val="20"/>
        </w:rPr>
        <w:t xml:space="preserve">1.19. </w:t>
      </w:r>
      <w:hyperlink w:history="0" w:anchor="P4008" w:tooltip="ПЛАН">
        <w:r>
          <w:rPr>
            <w:sz w:val="20"/>
            <w:color w:val="0000ff"/>
          </w:rPr>
          <w:t xml:space="preserve">План</w:t>
        </w:r>
      </w:hyperlink>
      <w:r>
        <w:rPr>
          <w:sz w:val="20"/>
        </w:rPr>
        <w:t xml:space="preserve"> мероприятий ("дорожную карту") по содействию трудоустройству и развитию карьеры молодежи в Ханты-Мансийском автономном округе - Югре на 2022 - 2030 годы (приложение 19).</w:t>
      </w:r>
    </w:p>
    <w:p>
      <w:pPr>
        <w:pStyle w:val="0"/>
        <w:jc w:val="both"/>
      </w:pPr>
      <w:r>
        <w:rPr>
          <w:sz w:val="20"/>
        </w:rPr>
        <w:t xml:space="preserve">(пп. 1.19 введен </w:t>
      </w:r>
      <w:hyperlink w:history="0" r:id="rId3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1.20. </w:t>
      </w:r>
      <w:hyperlink w:history="0" w:anchor="P4218" w:tooltip="ПОРЯДОК">
        <w:r>
          <w:rPr>
            <w:sz w:val="20"/>
            <w:color w:val="0000ff"/>
          </w:rPr>
          <w:t xml:space="preserve">Порядок</w:t>
        </w:r>
      </w:hyperlink>
      <w:r>
        <w:rPr>
          <w:sz w:val="20"/>
        </w:rPr>
        <w:t xml:space="preserve"> организации профессионального обучения граждан из числа обучающихся 10-х и 11-х классов (приложение 20).</w:t>
      </w:r>
    </w:p>
    <w:p>
      <w:pPr>
        <w:pStyle w:val="0"/>
        <w:jc w:val="both"/>
      </w:pPr>
      <w:r>
        <w:rPr>
          <w:sz w:val="20"/>
        </w:rPr>
        <w:t xml:space="preserve">(пп. 1.20 введен </w:t>
      </w:r>
      <w:hyperlink w:history="0" r:id="rId35" w:tooltip="Постановление Правительства ХМАО - Югры от 07.10.2022 N 50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07.10.2022 N 503-п; в ред. </w:t>
      </w:r>
      <w:hyperlink w:history="0" r:id="rId36"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2. Меры, указанные в </w:t>
      </w:r>
      <w:hyperlink w:history="0" w:anchor="P19" w:tooltip="1. Утвердить:">
        <w:r>
          <w:rPr>
            <w:sz w:val="20"/>
            <w:color w:val="0000ff"/>
          </w:rPr>
          <w:t xml:space="preserve">пункте 1</w:t>
        </w:r>
      </w:hyperlink>
      <w:r>
        <w:rPr>
          <w:sz w:val="20"/>
        </w:rPr>
        <w:t xml:space="preserve"> настоящего постановления, являются составной частью государственной </w:t>
      </w:r>
      <w:hyperlink w:history="0" r:id="rId3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программы</w:t>
        </w:r>
      </w:hyperlink>
      <w:r>
        <w:rPr>
          <w:sz w:val="20"/>
        </w:rP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w:t>
      </w:r>
    </w:p>
    <w:p>
      <w:pPr>
        <w:pStyle w:val="0"/>
        <w:spacing w:before="200" w:line-rule="auto"/>
        <w:ind w:firstLine="540"/>
        <w:jc w:val="both"/>
      </w:pPr>
      <w:r>
        <w:rPr>
          <w:sz w:val="20"/>
        </w:rPr>
        <w:t xml:space="preserve">3. Признать утратившими силу постановления Правительства Ханты-Мансийского автономного округа - Югры:</w:t>
      </w:r>
    </w:p>
    <w:p>
      <w:pPr>
        <w:pStyle w:val="0"/>
        <w:spacing w:before="200" w:line-rule="auto"/>
        <w:ind w:firstLine="540"/>
        <w:jc w:val="both"/>
      </w:pPr>
      <w:r>
        <w:rPr>
          <w:sz w:val="20"/>
        </w:rPr>
        <w:t xml:space="preserve">от 5 октября 2018 года </w:t>
      </w:r>
      <w:hyperlink w:history="0" r:id="rId38" w:tooltip="Постановление Правительства ХМАО - Югры от 05.10.2018 N 343-п (ред. от 10.12.2021) &quot;О государственной программе Ханты-Мансийского автономного округа - Югры &quot;Поддержка занятости населения&quot; (вместе с &quot;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quot;, &quot;Порядком организации трудоустройства не занятых трудовой деятельностью граждан на рабочие места с применением гибких форм занятости, включа ------------ Утратил силу или отменен {КонсультантПлюс}">
        <w:r>
          <w:rPr>
            <w:sz w:val="20"/>
            <w:color w:val="0000ff"/>
          </w:rPr>
          <w:t xml:space="preserve">N 343-п</w:t>
        </w:r>
      </w:hyperlink>
      <w:r>
        <w:rPr>
          <w:sz w:val="20"/>
        </w:rPr>
        <w:t xml:space="preserve">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6 февраля 2019 года </w:t>
      </w:r>
      <w:hyperlink w:history="0" r:id="rId39" w:tooltip="Постановление Правительства ХМАО - Югры от 06.02.2019 N 22-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22-п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5 апреля 2019 года </w:t>
      </w:r>
      <w:hyperlink w:history="0" r:id="rId40" w:tooltip="Постановление Правительства ХМАО - Югры от 05.04.2019 N 109-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109-п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19 апреля 2019 года </w:t>
      </w:r>
      <w:hyperlink w:history="0" r:id="rId41" w:tooltip="Постановление Правительства ХМАО - Югры от 19.04.2019 N 130-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130-п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31 мая 2019 года </w:t>
      </w:r>
      <w:hyperlink w:history="0" r:id="rId42" w:tooltip="Постановление Правительства ХМАО - Югры от 31.05.2019 N 169-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169-п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 августа 2019 года </w:t>
      </w:r>
      <w:hyperlink w:history="0" r:id="rId43" w:tooltip="Постановление Правительства ХМАО - Югры от 02.08.2019 N 253-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253-п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23 августа 2019 года </w:t>
      </w:r>
      <w:hyperlink w:history="0" r:id="rId44" w:tooltip="Постановление Правительства ХМАО - Югры от 23.08.2019 N 283-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283-п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18 октября 2019 года </w:t>
      </w:r>
      <w:hyperlink w:history="0" r:id="rId45" w:tooltip="Постановление Правительства ХМАО - Югры от 18.10.2019 N 381-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381-п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28 октября 2019 года </w:t>
      </w:r>
      <w:hyperlink w:history="0" r:id="rId46" w:tooltip="Постановление Правительства ХМАО - Югры от 28.10.2019 N 399-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399-п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13 декабря 2019 года </w:t>
      </w:r>
      <w:hyperlink w:history="0" r:id="rId47" w:tooltip="Постановление Правительства ХМАО - Югры от 13.12.2019 N 497-п &quot;О внесении изменений в приложение 1 к постановлению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497-п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27 декабря 2019 года </w:t>
      </w:r>
      <w:hyperlink w:history="0" r:id="rId48" w:tooltip="Постановление Правительства ХМАО - Югры от 27.12.2019 N 541-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541-п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7 февраля 2020 года </w:t>
      </w:r>
      <w:hyperlink w:history="0" r:id="rId49" w:tooltip="Постановление Правительства ХМАО - Югры от 07.02.2020 N 26-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26-п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10 апреля 2020 года </w:t>
      </w:r>
      <w:hyperlink w:history="0" r:id="rId50" w:tooltip="Постановление Правительства ХМАО - Югры от 10.04.2020 N 120-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120-п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24 апреля 2020 года </w:t>
      </w:r>
      <w:hyperlink w:history="0" r:id="rId51" w:tooltip="Постановление Правительства ХМАО - Югры от 24.04.2020 N 153-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153-п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15 мая 2020 года </w:t>
      </w:r>
      <w:hyperlink w:history="0" r:id="rId52" w:tooltip="Постановление Правительства ХМАО - Югры от 15.05.2020 N 192-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192-п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19 июня 2020 года </w:t>
      </w:r>
      <w:hyperlink w:history="0" r:id="rId53" w:tooltip="Постановление Правительства ХМАО - Югры от 19.06.2020 N 253-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253-п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31 июля 2020 года </w:t>
      </w:r>
      <w:hyperlink w:history="0" r:id="rId54" w:tooltip="Постановление Правительства ХМАО - Югры от 31.07.2020 N 320-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320-п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7 августа 2020 года </w:t>
      </w:r>
      <w:hyperlink w:history="0" r:id="rId55" w:tooltip="Постановление Правительства ХМАО - Югры от 07.08.2020 N 331-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331-п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4 сентября 2020 года </w:t>
      </w:r>
      <w:hyperlink w:history="0" r:id="rId56" w:tooltip="Постановление Правительства ХМАО - Югры от 04.09.2020 N 375-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375-п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16 октября 2020 года </w:t>
      </w:r>
      <w:hyperlink w:history="0" r:id="rId57" w:tooltip="Постановление Правительства ХМАО - Югры от 16.10.2020 N 448-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448-п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25 декабря 2020 года </w:t>
      </w:r>
      <w:hyperlink w:history="0" r:id="rId58" w:tooltip="Постановление Правительства ХМАО - Югры от 25.12.2020 N 592-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592-п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29 декабря 2020 года </w:t>
      </w:r>
      <w:hyperlink w:history="0" r:id="rId59" w:tooltip="Постановление Правительства ХМАО - Югры от 29.12.2020 N 628-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628-п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22 января 2021 года </w:t>
      </w:r>
      <w:hyperlink w:history="0" r:id="rId60" w:tooltip="Постановление Правительства ХМАО - Югры от 22.01.2021 N 6-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6-п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5 февраля 2021 года </w:t>
      </w:r>
      <w:hyperlink w:history="0" r:id="rId61" w:tooltip="Постановление Правительства ХМАО - Югры от 05.02.2021 N 30-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30-п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20 марта 2021 года </w:t>
      </w:r>
      <w:hyperlink w:history="0" r:id="rId62" w:tooltip="Постановление Правительства ХМАО - Югры от 20.03.2021 N 74-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74-п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27 апреля 2021 года </w:t>
      </w:r>
      <w:hyperlink w:history="0" r:id="rId63" w:tooltip="Постановление Правительства ХМАО - Югры от 27.04.2021 N 147-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147-п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7 мая 2021 года </w:t>
      </w:r>
      <w:hyperlink w:history="0" r:id="rId64" w:tooltip="Постановление Правительства ХМАО - Югры от 07.05.2021 N 167-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167-п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30 июля 2021 года </w:t>
      </w:r>
      <w:hyperlink w:history="0" r:id="rId65" w:tooltip="Постановление Правительства ХМАО - Югры от 30.07.2021 N 286-п &quot;О внесении изменений в постановление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286-п</w:t>
        </w:r>
      </w:hyperlink>
      <w:r>
        <w:rPr>
          <w:sz w:val="20"/>
        </w:rPr>
        <w:t xml:space="preserve"> "О внесении изменений в постановление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8 октября 2021 года </w:t>
      </w:r>
      <w:hyperlink w:history="0" r:id="rId66" w:tooltip="Постановление Правительства ХМАО - Югры от 08.10.2021 N 419-п &quot;О внесении изменений в приложение 1 к постановлению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419-п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от 10 декабря 2021 года </w:t>
      </w:r>
      <w:hyperlink w:history="0" r:id="rId67" w:tooltip="Постановление Правительства ХМАО - Югры от 10.12.2021 N 543-п &quot;О внесении изменений в приложение 1 к постановлению Правительства Ханты-Мансийского автономного округа - Югры от 5 октября 2018 года N 343-п &quot;О государственной программе Ханты-Мансийского автономного округа - Югры &quot;Поддержка занятости населения&quot; ------------ Утратил силу или отменен {КонсультантПлюс}">
        <w:r>
          <w:rPr>
            <w:sz w:val="20"/>
            <w:color w:val="0000ff"/>
          </w:rPr>
          <w:t xml:space="preserve">N 543-п</w:t>
        </w:r>
      </w:hyperlink>
      <w:r>
        <w:rPr>
          <w:sz w:val="20"/>
        </w:rPr>
        <w:t xml:space="preserve"> "О внесении изменений в приложение 1 к постановлению Правительства Ханты-Мансийского автономного округа - Югры от 5 октября 2018 года N 343-п "О государственной программе Ханты-Мансийского автономного округа - Югры "Поддержка занятости населения".</w:t>
      </w:r>
    </w:p>
    <w:p>
      <w:pPr>
        <w:pStyle w:val="0"/>
        <w:spacing w:before="200" w:line-rule="auto"/>
        <w:ind w:firstLine="540"/>
        <w:jc w:val="both"/>
      </w:pPr>
      <w:r>
        <w:rPr>
          <w:sz w:val="20"/>
        </w:rPr>
        <w:t xml:space="preserve">4. Настоящее постановление вступает в силу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Н.В.КОМАРОВА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89" w:name="P89"/>
    <w:bookmarkEnd w:id="89"/>
    <w:p>
      <w:pPr>
        <w:pStyle w:val="2"/>
        <w:jc w:val="center"/>
      </w:pPr>
      <w:r>
        <w:rPr>
          <w:sz w:val="20"/>
        </w:rPr>
        <w:t xml:space="preserve">ПАСПОРТ</w:t>
      </w:r>
    </w:p>
    <w:p>
      <w:pPr>
        <w:pStyle w:val="2"/>
        <w:jc w:val="center"/>
      </w:pPr>
      <w:r>
        <w:rPr>
          <w:sz w:val="20"/>
        </w:rPr>
        <w:t xml:space="preserve">ПОДПРОГРАММЫ "ОКАЗАНИЕ СОДЕЙСТВИЯ ДОБРОВОЛЬНОМУ ПЕРЕСЕЛЕНИЮ</w:t>
      </w:r>
    </w:p>
    <w:p>
      <w:pPr>
        <w:pStyle w:val="2"/>
        <w:jc w:val="center"/>
      </w:pPr>
      <w:r>
        <w:rPr>
          <w:sz w:val="20"/>
        </w:rPr>
        <w:t xml:space="preserve">В ХАНТЫ-МАНСИЙСКИЙ АВТОНОМНЫЙ ОКРУГ - ЮГРУ</w:t>
      </w:r>
    </w:p>
    <w:p>
      <w:pPr>
        <w:pStyle w:val="2"/>
        <w:jc w:val="center"/>
      </w:pPr>
      <w:r>
        <w:rPr>
          <w:sz w:val="20"/>
        </w:rPr>
        <w:t xml:space="preserve">СООТЕЧЕСТВЕННИКОВ, ПРОЖИВАЮЩИХ ЗА РУБЕЖОМ, НА 2020 - 2025</w:t>
      </w:r>
    </w:p>
    <w:p>
      <w:pPr>
        <w:pStyle w:val="2"/>
        <w:jc w:val="center"/>
      </w:pPr>
      <w:r>
        <w:rPr>
          <w:sz w:val="20"/>
        </w:rPr>
        <w:t xml:space="preserve">ГОДЫ" &lt;1&gt; (ДАЛЕЕ - ПОДПРОГРАММА)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6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01.07.2022 </w:t>
            </w:r>
            <w:hyperlink w:history="0" r:id="rId69"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298-п</w:t>
              </w:r>
            </w:hyperlink>
            <w:r>
              <w:rPr>
                <w:sz w:val="20"/>
                <w:color w:val="392c69"/>
              </w:rPr>
              <w:t xml:space="preserve">, от 14.10.2022 </w:t>
            </w:r>
            <w:hyperlink w:history="0" r:id="rId70"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color w:val="392c69"/>
              </w:rPr>
              <w:t xml:space="preserve">, от 14.07.2023 </w:t>
            </w:r>
            <w:hyperlink w:history="0" r:id="rId71"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w:t>
      </w:r>
      <w:hyperlink w:history="0" r:id="rId72" w:tooltip="Постановление Правительства ХМАО - Югры от 05.10.2018 N 343-п (ред. от 10.12.2021) &quot;О государственной программе Ханты-Мансийского автономного округа - Югры &quot;Поддержка занятости населения&quot; (вместе с &quot;Порядком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quot;, &quot;Порядком организации трудоустройства не занятых трудовой деятельностью граждан на рабочие места с применением гибких форм занятости, включа ------------ Утратил силу или отменен {КонсультантПлюс}">
        <w:r>
          <w:rPr>
            <w:sz w:val="20"/>
            <w:color w:val="0000ff"/>
          </w:rPr>
          <w:t xml:space="preserve">Подпрограмма 5</w:t>
        </w:r>
      </w:hyperlink>
      <w:r>
        <w:rPr>
          <w:sz w:val="20"/>
        </w:rPr>
        <w:t xml:space="preserve"> "Оказание содействия добровольному переселению в автономный округ соотечественников, проживающих за рубежом, на 2020 - 2021 годы"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5 октября 2018 года N 343-п;</w:t>
      </w:r>
    </w:p>
    <w:p>
      <w:pPr>
        <w:pStyle w:val="0"/>
        <w:spacing w:before="200" w:line-rule="auto"/>
        <w:ind w:firstLine="540"/>
        <w:jc w:val="both"/>
      </w:pPr>
      <w:hyperlink w:history="0" r:id="rId7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Подпрограмма 5</w:t>
        </w:r>
      </w:hyperlink>
      <w:r>
        <w:rPr>
          <w:sz w:val="20"/>
        </w:rPr>
        <w:t xml:space="preserve"> "Оказание содействия добровольному переселению в автономный округ соотечественников, проживающих за рубежом, на 2022 - 2025 годы"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6293"/>
      </w:tblGrid>
      <w:tr>
        <w:tc>
          <w:tcPr>
            <w:tcW w:w="2778" w:type="dxa"/>
          </w:tcPr>
          <w:p>
            <w:pPr>
              <w:pStyle w:val="0"/>
            </w:pPr>
            <w:r>
              <w:rPr>
                <w:sz w:val="20"/>
              </w:rPr>
              <w:t xml:space="preserve">Дата согласования проекта Подпрограммы Правительством Российской Федерации</w:t>
            </w:r>
          </w:p>
        </w:tc>
        <w:tc>
          <w:tcPr>
            <w:tcW w:w="6293" w:type="dxa"/>
          </w:tcPr>
          <w:p>
            <w:pPr>
              <w:pStyle w:val="0"/>
            </w:pPr>
            <w:r>
              <w:rPr>
                <w:sz w:val="20"/>
              </w:rPr>
              <w:t xml:space="preserve">Распоряжение Правительства Российской Федерации от 23 ноября 2019 года N 2775-р</w:t>
            </w:r>
          </w:p>
        </w:tc>
      </w:tr>
      <w:tr>
        <w:tc>
          <w:tcPr>
            <w:tcW w:w="2778" w:type="dxa"/>
          </w:tcPr>
          <w:p>
            <w:pPr>
              <w:pStyle w:val="0"/>
            </w:pPr>
            <w:r>
              <w:rPr>
                <w:sz w:val="20"/>
              </w:rPr>
              <w:t xml:space="preserve">Уполномоченный орган исполнительной власти субъекта Российской Федерации, ответственный за реализацию Подпрограммы</w:t>
            </w:r>
          </w:p>
        </w:tc>
        <w:tc>
          <w:tcPr>
            <w:tcW w:w="6293" w:type="dxa"/>
          </w:tcPr>
          <w:p>
            <w:pPr>
              <w:pStyle w:val="0"/>
            </w:pPr>
            <w:r>
              <w:rPr>
                <w:sz w:val="20"/>
              </w:rPr>
              <w:t xml:space="preserve">Департамент труда и занятости населения Ханты-Мансийского автономного округа - Югры (далее - Уполномоченный орган Югры)</w:t>
            </w:r>
          </w:p>
        </w:tc>
      </w:tr>
      <w:tr>
        <w:tc>
          <w:tcPr>
            <w:tcW w:w="2778" w:type="dxa"/>
          </w:tcPr>
          <w:p>
            <w:pPr>
              <w:pStyle w:val="0"/>
            </w:pPr>
            <w:r>
              <w:rPr>
                <w:sz w:val="20"/>
              </w:rPr>
              <w:t xml:space="preserve">Цели Подпрограммы</w:t>
            </w:r>
          </w:p>
        </w:tc>
        <w:tc>
          <w:tcPr>
            <w:tcW w:w="6293" w:type="dxa"/>
          </w:tcPr>
          <w:p>
            <w:pPr>
              <w:pStyle w:val="0"/>
            </w:pPr>
            <w:r>
              <w:rPr>
                <w:sz w:val="20"/>
              </w:rPr>
              <w:t xml:space="preserve">1. Обеспечение реализации Государственной </w:t>
            </w:r>
            <w:hyperlink w:history="0" r:id="rId74" w:tooltip="Указ Президента РФ от 14.09.2012 N 1289 (ред. от 12.08.2022) &quot;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quot; ------------ Недействующая редакция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в Ханты-Мансийском автономном округе - Югре (далее - Государственная программа).</w:t>
            </w:r>
          </w:p>
          <w:p>
            <w:pPr>
              <w:pStyle w:val="0"/>
            </w:pPr>
            <w:r>
              <w:rPr>
                <w:sz w:val="20"/>
              </w:rPr>
              <w:t xml:space="preserve">2. Обеспечение социально-экономического развития Ханты-Мансийского автономного округа - Югры путем содействия добровольному переселению квалифицированных специалистов из числа соотечественников, проживающих за рубежом</w:t>
            </w:r>
          </w:p>
        </w:tc>
      </w:tr>
      <w:tr>
        <w:tc>
          <w:tcPr>
            <w:tcW w:w="2778" w:type="dxa"/>
          </w:tcPr>
          <w:p>
            <w:pPr>
              <w:pStyle w:val="0"/>
            </w:pPr>
            <w:r>
              <w:rPr>
                <w:sz w:val="20"/>
              </w:rPr>
              <w:t xml:space="preserve">Задачи Подпрограммы</w:t>
            </w:r>
          </w:p>
        </w:tc>
        <w:tc>
          <w:tcPr>
            <w:tcW w:w="6293" w:type="dxa"/>
          </w:tcPr>
          <w:p>
            <w:pPr>
              <w:pStyle w:val="0"/>
            </w:pPr>
            <w:r>
              <w:rPr>
                <w:sz w:val="20"/>
              </w:rPr>
              <w:t xml:space="preserve">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w:t>
            </w:r>
          </w:p>
          <w:p>
            <w:pPr>
              <w:pStyle w:val="0"/>
            </w:pPr>
            <w:r>
              <w:rPr>
                <w:sz w:val="20"/>
              </w:rPr>
              <w:t xml:space="preserve">2. Создание условий для адаптации и интеграции участников Государственной программы и членов их семей в принимающее сообщество.</w:t>
            </w:r>
          </w:p>
          <w:p>
            <w:pPr>
              <w:pStyle w:val="0"/>
            </w:pPr>
            <w:r>
              <w:rPr>
                <w:sz w:val="20"/>
              </w:rPr>
              <w:t xml:space="preserve">3. Содействие обеспечению потребности экономики автономного округа в квалифицированных кадрах</w:t>
            </w:r>
          </w:p>
        </w:tc>
      </w:tr>
      <w:tr>
        <w:tblPrEx>
          <w:tblBorders>
            <w:insideH w:val="nil"/>
          </w:tblBorders>
        </w:tblPrEx>
        <w:tc>
          <w:tcPr>
            <w:tcW w:w="2778" w:type="dxa"/>
            <w:tcBorders>
              <w:bottom w:val="nil"/>
            </w:tcBorders>
          </w:tcPr>
          <w:p>
            <w:pPr>
              <w:pStyle w:val="0"/>
            </w:pPr>
            <w:r>
              <w:rPr>
                <w:sz w:val="20"/>
              </w:rPr>
              <w:t xml:space="preserve">Исполнители основных мероприятий Подпрограммы</w:t>
            </w:r>
          </w:p>
        </w:tc>
        <w:tc>
          <w:tcPr>
            <w:tcW w:w="6293" w:type="dxa"/>
            <w:tcBorders>
              <w:bottom w:val="nil"/>
            </w:tcBorders>
          </w:tcPr>
          <w:p>
            <w:pPr>
              <w:pStyle w:val="0"/>
            </w:pPr>
            <w:r>
              <w:rPr>
                <w:sz w:val="20"/>
              </w:rPr>
              <w:t xml:space="preserve">Уполномоченный орган Югры;</w:t>
            </w:r>
          </w:p>
          <w:p>
            <w:pPr>
              <w:pStyle w:val="0"/>
            </w:pPr>
            <w:r>
              <w:rPr>
                <w:sz w:val="20"/>
              </w:rPr>
              <w:t xml:space="preserve">Департамент общественных, внешних связей и молодежной политики Ханты-Мансийского автономного округа - Югры;</w:t>
            </w:r>
          </w:p>
          <w:p>
            <w:pPr>
              <w:pStyle w:val="0"/>
            </w:pPr>
            <w:r>
              <w:rPr>
                <w:sz w:val="20"/>
              </w:rPr>
              <w:t xml:space="preserve">Департамент здравоохранения Ханты-Мансийского автономного округа - Югры;</w:t>
            </w:r>
          </w:p>
          <w:p>
            <w:pPr>
              <w:pStyle w:val="0"/>
            </w:pPr>
            <w:r>
              <w:rPr>
                <w:sz w:val="20"/>
              </w:rPr>
              <w:t xml:space="preserve">Департамент образования и науки Ханты-Мансийского автономного округа - Югры;</w:t>
            </w:r>
          </w:p>
          <w:p>
            <w:pPr>
              <w:pStyle w:val="0"/>
            </w:pPr>
            <w:r>
              <w:rPr>
                <w:sz w:val="20"/>
              </w:rPr>
              <w:t xml:space="preserve">Департамент социального развития Ханты-Мансийского автономного округа - Югры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75"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2778" w:type="dxa"/>
          </w:tcPr>
          <w:p>
            <w:pPr>
              <w:pStyle w:val="0"/>
            </w:pPr>
            <w:r>
              <w:rPr>
                <w:sz w:val="20"/>
              </w:rPr>
              <w:t xml:space="preserve">Этапы и сроки реализации Подпрограммы</w:t>
            </w:r>
          </w:p>
        </w:tc>
        <w:tc>
          <w:tcPr>
            <w:tcW w:w="6293" w:type="dxa"/>
          </w:tcPr>
          <w:p>
            <w:pPr>
              <w:pStyle w:val="0"/>
            </w:pPr>
            <w:r>
              <w:rPr>
                <w:sz w:val="20"/>
              </w:rPr>
              <w:t xml:space="preserve">2022 - 2025 годы (этапы не выделяются)</w:t>
            </w:r>
          </w:p>
        </w:tc>
      </w:tr>
      <w:tr>
        <w:tc>
          <w:tcPr>
            <w:tcW w:w="2778" w:type="dxa"/>
          </w:tcPr>
          <w:p>
            <w:pPr>
              <w:pStyle w:val="0"/>
            </w:pPr>
            <w:r>
              <w:rPr>
                <w:sz w:val="20"/>
              </w:rPr>
              <w:t xml:space="preserve">Объемы и источники финансирования Подпрограммы</w:t>
            </w:r>
          </w:p>
        </w:tc>
        <w:tc>
          <w:tcPr>
            <w:tcW w:w="6293" w:type="dxa"/>
          </w:tcPr>
          <w:p>
            <w:pPr>
              <w:pStyle w:val="0"/>
            </w:pPr>
            <w:r>
              <w:rPr>
                <w:sz w:val="20"/>
              </w:rPr>
              <w:t xml:space="preserve">Общий объем финансирования Подпрограммы составляет 46586,1 тыс. рублей, в том числе:</w:t>
            </w:r>
          </w:p>
          <w:p>
            <w:pPr>
              <w:pStyle w:val="0"/>
            </w:pPr>
            <w:r>
              <w:rPr>
                <w:sz w:val="20"/>
              </w:rPr>
              <w:t xml:space="preserve">средства бюджета автономного округа составляют 43906,8 тыс. рублей, в том числе:</w:t>
            </w:r>
          </w:p>
          <w:p>
            <w:pPr>
              <w:pStyle w:val="0"/>
            </w:pPr>
            <w:r>
              <w:rPr>
                <w:sz w:val="20"/>
              </w:rPr>
              <w:t xml:space="preserve">2022 год - 10976,7 тыс. рублей,</w:t>
            </w:r>
          </w:p>
          <w:p>
            <w:pPr>
              <w:pStyle w:val="0"/>
            </w:pPr>
            <w:r>
              <w:rPr>
                <w:sz w:val="20"/>
              </w:rPr>
              <w:t xml:space="preserve">2023 год - 10976,7 тыс. рублей,</w:t>
            </w:r>
          </w:p>
          <w:p>
            <w:pPr>
              <w:pStyle w:val="0"/>
            </w:pPr>
            <w:r>
              <w:rPr>
                <w:sz w:val="20"/>
              </w:rPr>
              <w:t xml:space="preserve">2024 год - 10976,7 тыс. рублей,</w:t>
            </w:r>
          </w:p>
          <w:p>
            <w:pPr>
              <w:pStyle w:val="0"/>
            </w:pPr>
            <w:r>
              <w:rPr>
                <w:sz w:val="20"/>
              </w:rPr>
              <w:t xml:space="preserve">2025 год - 10976,7 тыс. рублей;</w:t>
            </w:r>
          </w:p>
          <w:p>
            <w:pPr>
              <w:pStyle w:val="0"/>
            </w:pPr>
            <w:r>
              <w:rPr>
                <w:sz w:val="20"/>
              </w:rPr>
              <w:t xml:space="preserve">средства федерального бюджета 2679,3 тыс. рублей, в том числе:</w:t>
            </w:r>
          </w:p>
          <w:p>
            <w:pPr>
              <w:pStyle w:val="0"/>
            </w:pPr>
            <w:r>
              <w:rPr>
                <w:sz w:val="20"/>
              </w:rPr>
              <w:t xml:space="preserve">2022 год - 782,1 тыс. рублей;</w:t>
            </w:r>
          </w:p>
          <w:p>
            <w:pPr>
              <w:pStyle w:val="0"/>
            </w:pPr>
            <w:r>
              <w:rPr>
                <w:sz w:val="20"/>
              </w:rPr>
              <w:t xml:space="preserve">2023 год - 883,8 тыс. рублей;</w:t>
            </w:r>
          </w:p>
          <w:p>
            <w:pPr>
              <w:pStyle w:val="0"/>
            </w:pPr>
            <w:r>
              <w:rPr>
                <w:sz w:val="20"/>
              </w:rPr>
              <w:t xml:space="preserve">2024 год - 1013,4 тыс. рублей.</w:t>
            </w:r>
          </w:p>
          <w:p>
            <w:pPr>
              <w:pStyle w:val="0"/>
            </w:pPr>
            <w:r>
              <w:rPr>
                <w:sz w:val="20"/>
              </w:rPr>
              <w:t xml:space="preserve">Средства из федерального бюджета в виде субсидий предоставляются бюджету Ханты-Мансийского автономного округа - Югры в соответствии с соглашениями, заключаемыми между федеральным органом исполнительной власти, уполномоченным на реализацию Государственной программы, и Правительством Ханты-Мансийского автономного округа - Югры</w:t>
            </w:r>
          </w:p>
        </w:tc>
      </w:tr>
      <w:tr>
        <w:tc>
          <w:tcPr>
            <w:tcW w:w="2778" w:type="dxa"/>
          </w:tcPr>
          <w:p>
            <w:pPr>
              <w:pStyle w:val="0"/>
            </w:pPr>
            <w:r>
              <w:rPr>
                <w:sz w:val="20"/>
              </w:rPr>
              <w:t xml:space="preserve">Основные показатели эффективности Подпрограммы</w:t>
            </w:r>
          </w:p>
        </w:tc>
        <w:tc>
          <w:tcPr>
            <w:tcW w:w="6293" w:type="dxa"/>
          </w:tcPr>
          <w:p>
            <w:pPr>
              <w:pStyle w:val="0"/>
            </w:pPr>
            <w:r>
              <w:rPr>
                <w:sz w:val="20"/>
              </w:rPr>
              <w:t xml:space="preserve">1. Численность участников Государственной программы, прибывших в автономный округ и зарегистрированных Управлением по вопросам миграции Министерства внутренних дел Российской Федерации по Ханты-Мансийскому автономному округу - Югре (далее - Управление Министерства внутренних дел Российской Федерации по автономному округу).</w:t>
            </w:r>
          </w:p>
          <w:p>
            <w:pPr>
              <w:pStyle w:val="0"/>
            </w:pPr>
            <w:r>
              <w:rPr>
                <w:sz w:val="20"/>
              </w:rPr>
              <w:t xml:space="preserve">2. Доля рассмотренных Уполномоченным органом Югры заявлений соотечественников, желающих принять участие в Государственной программе (далее - потенциальные участники Государственной программы) от общего числа поступивших заявлений.</w:t>
            </w:r>
          </w:p>
          <w:p>
            <w:pPr>
              <w:pStyle w:val="0"/>
            </w:pPr>
            <w:r>
              <w:rPr>
                <w:sz w:val="20"/>
              </w:rPr>
              <w:t xml:space="preserve">3. Количество презентаций Подпрограммы.</w:t>
            </w:r>
          </w:p>
          <w:p>
            <w:pPr>
              <w:pStyle w:val="0"/>
            </w:pPr>
            <w:r>
              <w:rPr>
                <w:sz w:val="20"/>
              </w:rPr>
              <w:t xml:space="preserve">4. Доля участников Государственной программы, имеющих среднее профессиональное или высшее образование, от общего числа участников Государственной программы.</w:t>
            </w:r>
          </w:p>
          <w:p>
            <w:pPr>
              <w:pStyle w:val="0"/>
            </w:pPr>
            <w:r>
              <w:rPr>
                <w:sz w:val="20"/>
              </w:rPr>
              <w:t xml:space="preserve">5. Количество консультационных услуг, оказанных участникам Государственной программы и членам их семей.</w:t>
            </w:r>
          </w:p>
          <w:p>
            <w:pPr>
              <w:pStyle w:val="0"/>
            </w:pPr>
            <w:r>
              <w:rPr>
                <w:sz w:val="20"/>
              </w:rPr>
              <w:t xml:space="preserve">6. Доля участников Государственной программы и членов их семей, получивших компенсацию расходов по найму жилья, от числа обратившихся участников Государственной программы.</w:t>
            </w:r>
          </w:p>
          <w:p>
            <w:pPr>
              <w:pStyle w:val="0"/>
            </w:pPr>
            <w:r>
              <w:rPr>
                <w:sz w:val="20"/>
              </w:rPr>
              <w:t xml:space="preserve">7. Доля участников Государственной программы, занятых трудовой деятельностью, включая открывших собственное дело, от числа прибывших и зарегистрированных Управлением Министерства внутренних дел Российской Федерации по автономному округу участников Государственной программы на конец отчетного года.</w:t>
            </w:r>
          </w:p>
          <w:p>
            <w:pPr>
              <w:pStyle w:val="0"/>
            </w:pPr>
            <w:r>
              <w:rPr>
                <w:sz w:val="20"/>
              </w:rPr>
              <w:t xml:space="preserve">8. 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на конец отчетного года</w:t>
            </w:r>
          </w:p>
        </w:tc>
      </w:tr>
      <w:tr>
        <w:tc>
          <w:tcPr>
            <w:tcW w:w="2778" w:type="dxa"/>
          </w:tcPr>
          <w:p>
            <w:pPr>
              <w:pStyle w:val="0"/>
            </w:pPr>
            <w:r>
              <w:rPr>
                <w:sz w:val="20"/>
              </w:rPr>
              <w:t xml:space="preserve">Ожидаемые результаты реализации Подпрограммы</w:t>
            </w:r>
          </w:p>
        </w:tc>
        <w:tc>
          <w:tcPr>
            <w:tcW w:w="6293" w:type="dxa"/>
          </w:tcPr>
          <w:p>
            <w:pPr>
              <w:pStyle w:val="0"/>
            </w:pPr>
            <w:r>
              <w:rPr>
                <w:sz w:val="20"/>
              </w:rPr>
              <w:t xml:space="preserve">Реализация Подпрограммы позволит обеспечить:</w:t>
            </w:r>
          </w:p>
          <w:p>
            <w:pPr>
              <w:pStyle w:val="0"/>
            </w:pPr>
            <w:r>
              <w:rPr>
                <w:sz w:val="20"/>
              </w:rPr>
              <w:t xml:space="preserve">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 адаптации и интеграции участников Государственной программы в принимающее сообщество.</w:t>
            </w:r>
          </w:p>
          <w:p>
            <w:pPr>
              <w:pStyle w:val="0"/>
            </w:pPr>
            <w:r>
              <w:rPr>
                <w:sz w:val="20"/>
              </w:rPr>
              <w:t xml:space="preserve">1. Вселение в Ханты-Мансийский автономный округ - Югру 1164 соотечественника, в том числе по годам:</w:t>
            </w:r>
          </w:p>
          <w:p>
            <w:pPr>
              <w:pStyle w:val="0"/>
            </w:pPr>
            <w:r>
              <w:rPr>
                <w:sz w:val="20"/>
              </w:rPr>
              <w:t xml:space="preserve">2022 год - 204 участника Государственной программы и 84 члена их семьи;</w:t>
            </w:r>
          </w:p>
          <w:p>
            <w:pPr>
              <w:pStyle w:val="0"/>
            </w:pPr>
            <w:r>
              <w:rPr>
                <w:sz w:val="20"/>
              </w:rPr>
              <w:t xml:space="preserve">2023 год - 205 участников Государственной программы и 85 членов их семей;</w:t>
            </w:r>
          </w:p>
          <w:p>
            <w:pPr>
              <w:pStyle w:val="0"/>
            </w:pPr>
            <w:r>
              <w:rPr>
                <w:sz w:val="20"/>
              </w:rPr>
              <w:t xml:space="preserve">2024 год - 206 участников Государственной программы и 86 членов их семей;</w:t>
            </w:r>
          </w:p>
          <w:p>
            <w:pPr>
              <w:pStyle w:val="0"/>
            </w:pPr>
            <w:r>
              <w:rPr>
                <w:sz w:val="20"/>
              </w:rPr>
              <w:t xml:space="preserve">2025 год - 207 участников Государственной программы и 87 членов их семей.</w:t>
            </w:r>
          </w:p>
          <w:p>
            <w:pPr>
              <w:pStyle w:val="0"/>
            </w:pPr>
            <w:r>
              <w:rPr>
                <w:sz w:val="20"/>
              </w:rPr>
              <w:t xml:space="preserve">2. Доля рассмотренных Уполномоченным органом Югры заявлений соотечественников - потенциальных участников Государственной программы от общего числа поступивших заявлений составит 100% с разбивкой по годам:</w:t>
            </w:r>
          </w:p>
          <w:p>
            <w:pPr>
              <w:pStyle w:val="0"/>
            </w:pPr>
            <w:r>
              <w:rPr>
                <w:sz w:val="20"/>
              </w:rPr>
              <w:t xml:space="preserve">в 2022 году - 100%;</w:t>
            </w:r>
          </w:p>
          <w:p>
            <w:pPr>
              <w:pStyle w:val="0"/>
            </w:pPr>
            <w:r>
              <w:rPr>
                <w:sz w:val="20"/>
              </w:rPr>
              <w:t xml:space="preserve">в 2023 году - 100%;</w:t>
            </w:r>
          </w:p>
          <w:p>
            <w:pPr>
              <w:pStyle w:val="0"/>
            </w:pPr>
            <w:r>
              <w:rPr>
                <w:sz w:val="20"/>
              </w:rPr>
              <w:t xml:space="preserve">в 2024 году - 100%;</w:t>
            </w:r>
          </w:p>
          <w:p>
            <w:pPr>
              <w:pStyle w:val="0"/>
            </w:pPr>
            <w:r>
              <w:rPr>
                <w:sz w:val="20"/>
              </w:rPr>
              <w:t xml:space="preserve">в 2025 году - 100%.</w:t>
            </w:r>
          </w:p>
          <w:p>
            <w:pPr>
              <w:pStyle w:val="0"/>
            </w:pPr>
            <w:r>
              <w:rPr>
                <w:sz w:val="20"/>
              </w:rPr>
              <w:t xml:space="preserve">3. Проведение 12 презентаций с разбивкой по годам:</w:t>
            </w:r>
          </w:p>
          <w:p>
            <w:pPr>
              <w:pStyle w:val="0"/>
            </w:pPr>
            <w:r>
              <w:rPr>
                <w:sz w:val="20"/>
              </w:rPr>
              <w:t xml:space="preserve">в 2022 году - 2 презентации;</w:t>
            </w:r>
          </w:p>
          <w:p>
            <w:pPr>
              <w:pStyle w:val="0"/>
            </w:pPr>
            <w:r>
              <w:rPr>
                <w:sz w:val="20"/>
              </w:rPr>
              <w:t xml:space="preserve">в 2023 году - 2 презентации;</w:t>
            </w:r>
          </w:p>
          <w:p>
            <w:pPr>
              <w:pStyle w:val="0"/>
            </w:pPr>
            <w:r>
              <w:rPr>
                <w:sz w:val="20"/>
              </w:rPr>
              <w:t xml:space="preserve">в 2024 году - 2 презентации;</w:t>
            </w:r>
          </w:p>
          <w:p>
            <w:pPr>
              <w:pStyle w:val="0"/>
            </w:pPr>
            <w:r>
              <w:rPr>
                <w:sz w:val="20"/>
              </w:rPr>
              <w:t xml:space="preserve">в 2025 году - 2 презентации.</w:t>
            </w:r>
          </w:p>
          <w:p>
            <w:pPr>
              <w:pStyle w:val="0"/>
            </w:pPr>
            <w:r>
              <w:rPr>
                <w:sz w:val="20"/>
              </w:rPr>
              <w:t xml:space="preserve">4. Доля участников Государственной программы, имеющих среднее профессиональное или высшее образование, от общего числа участников Государственной программы составит не менее 90% с разбивкой по годам:</w:t>
            </w:r>
          </w:p>
          <w:p>
            <w:pPr>
              <w:pStyle w:val="0"/>
            </w:pPr>
            <w:r>
              <w:rPr>
                <w:sz w:val="20"/>
              </w:rPr>
              <w:t xml:space="preserve">в 2022 году - 90%;</w:t>
            </w:r>
          </w:p>
          <w:p>
            <w:pPr>
              <w:pStyle w:val="0"/>
            </w:pPr>
            <w:r>
              <w:rPr>
                <w:sz w:val="20"/>
              </w:rPr>
              <w:t xml:space="preserve">в 2023 году - 90%;</w:t>
            </w:r>
          </w:p>
          <w:p>
            <w:pPr>
              <w:pStyle w:val="0"/>
            </w:pPr>
            <w:r>
              <w:rPr>
                <w:sz w:val="20"/>
              </w:rPr>
              <w:t xml:space="preserve">в 2024 году - 90%;</w:t>
            </w:r>
          </w:p>
          <w:p>
            <w:pPr>
              <w:pStyle w:val="0"/>
            </w:pPr>
            <w:r>
              <w:rPr>
                <w:sz w:val="20"/>
              </w:rPr>
              <w:t xml:space="preserve">в 2025 году - 90%.</w:t>
            </w:r>
          </w:p>
          <w:p>
            <w:pPr>
              <w:pStyle w:val="0"/>
            </w:pPr>
            <w:r>
              <w:rPr>
                <w:sz w:val="20"/>
              </w:rPr>
              <w:t xml:space="preserve">5. Оказание 2140 консультационных услуг участникам Государственной программы с разбивкой по годам:</w:t>
            </w:r>
          </w:p>
          <w:p>
            <w:pPr>
              <w:pStyle w:val="0"/>
            </w:pPr>
            <w:r>
              <w:rPr>
                <w:sz w:val="20"/>
              </w:rPr>
              <w:t xml:space="preserve">в 2022 году - 520 консультаций;</w:t>
            </w:r>
          </w:p>
          <w:p>
            <w:pPr>
              <w:pStyle w:val="0"/>
            </w:pPr>
            <w:r>
              <w:rPr>
                <w:sz w:val="20"/>
              </w:rPr>
              <w:t xml:space="preserve">в 2023 году - 530 консультаций;</w:t>
            </w:r>
          </w:p>
          <w:p>
            <w:pPr>
              <w:pStyle w:val="0"/>
            </w:pPr>
            <w:r>
              <w:rPr>
                <w:sz w:val="20"/>
              </w:rPr>
              <w:t xml:space="preserve">в 2024 году - 540 консультаций;</w:t>
            </w:r>
          </w:p>
          <w:p>
            <w:pPr>
              <w:pStyle w:val="0"/>
            </w:pPr>
            <w:r>
              <w:rPr>
                <w:sz w:val="20"/>
              </w:rPr>
              <w:t xml:space="preserve">в 2025 году - 550 консультаций.</w:t>
            </w:r>
          </w:p>
          <w:p>
            <w:pPr>
              <w:pStyle w:val="0"/>
            </w:pPr>
            <w:r>
              <w:rPr>
                <w:sz w:val="20"/>
              </w:rPr>
              <w:t xml:space="preserve">6. Доля участников Государственной программы, получивших компенсацию расходов по найму жилья, от числа обратившихся участников Государственной программы составит не менее 95% с разбивкой по годам:</w:t>
            </w:r>
          </w:p>
          <w:p>
            <w:pPr>
              <w:pStyle w:val="0"/>
            </w:pPr>
            <w:r>
              <w:rPr>
                <w:sz w:val="20"/>
              </w:rPr>
              <w:t xml:space="preserve">в 2022 году - 95%;</w:t>
            </w:r>
          </w:p>
          <w:p>
            <w:pPr>
              <w:pStyle w:val="0"/>
            </w:pPr>
            <w:r>
              <w:rPr>
                <w:sz w:val="20"/>
              </w:rPr>
              <w:t xml:space="preserve">в 2023 году - 95%;</w:t>
            </w:r>
          </w:p>
          <w:p>
            <w:pPr>
              <w:pStyle w:val="0"/>
            </w:pPr>
            <w:r>
              <w:rPr>
                <w:sz w:val="20"/>
              </w:rPr>
              <w:t xml:space="preserve">в 2024 году - 95%;</w:t>
            </w:r>
          </w:p>
          <w:p>
            <w:pPr>
              <w:pStyle w:val="0"/>
            </w:pPr>
            <w:r>
              <w:rPr>
                <w:sz w:val="20"/>
              </w:rPr>
              <w:t xml:space="preserve">в 2025 году - 95%.</w:t>
            </w:r>
          </w:p>
          <w:p>
            <w:pPr>
              <w:pStyle w:val="0"/>
            </w:pPr>
            <w:r>
              <w:rPr>
                <w:sz w:val="20"/>
              </w:rPr>
              <w:t xml:space="preserve">7. Доля участников Государственной программы, занятых трудовой деятельностью, включая открывших собственное дело, от числа прибывших и зарегистрированных Управлением Министерства внутренних дел Российской Федерации по автономному округу участников Государственной программы на конец отчетного года.</w:t>
            </w:r>
          </w:p>
          <w:p>
            <w:pPr>
              <w:pStyle w:val="0"/>
            </w:pPr>
            <w:r>
              <w:rPr>
                <w:sz w:val="20"/>
              </w:rPr>
              <w:t xml:space="preserve">участников Государственной программы составит не менее 80% с разбивкой по годам:</w:t>
            </w:r>
          </w:p>
          <w:p>
            <w:pPr>
              <w:pStyle w:val="0"/>
            </w:pPr>
            <w:r>
              <w:rPr>
                <w:sz w:val="20"/>
              </w:rPr>
              <w:t xml:space="preserve">в 2022 году - не менее 80%;</w:t>
            </w:r>
          </w:p>
          <w:p>
            <w:pPr>
              <w:pStyle w:val="0"/>
            </w:pPr>
            <w:r>
              <w:rPr>
                <w:sz w:val="20"/>
              </w:rPr>
              <w:t xml:space="preserve">в 2023 году - не менее 80%;</w:t>
            </w:r>
          </w:p>
          <w:p>
            <w:pPr>
              <w:pStyle w:val="0"/>
            </w:pPr>
            <w:r>
              <w:rPr>
                <w:sz w:val="20"/>
              </w:rPr>
              <w:t xml:space="preserve">в 2024 году - не менее 80%;</w:t>
            </w:r>
          </w:p>
          <w:p>
            <w:pPr>
              <w:pStyle w:val="0"/>
            </w:pPr>
            <w:r>
              <w:rPr>
                <w:sz w:val="20"/>
              </w:rPr>
              <w:t xml:space="preserve">в 2025 году - не менее 80%.</w:t>
            </w:r>
          </w:p>
          <w:p>
            <w:pPr>
              <w:pStyle w:val="0"/>
            </w:pPr>
            <w:r>
              <w:rPr>
                <w:sz w:val="20"/>
              </w:rPr>
              <w:t xml:space="preserve">8. 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составит не менее 60% с разбивкой по годам:</w:t>
            </w:r>
          </w:p>
          <w:p>
            <w:pPr>
              <w:pStyle w:val="0"/>
            </w:pPr>
            <w:r>
              <w:rPr>
                <w:sz w:val="20"/>
              </w:rPr>
              <w:t xml:space="preserve">в 2022 году - не менее 60%;</w:t>
            </w:r>
          </w:p>
          <w:p>
            <w:pPr>
              <w:pStyle w:val="0"/>
            </w:pPr>
            <w:r>
              <w:rPr>
                <w:sz w:val="20"/>
              </w:rPr>
              <w:t xml:space="preserve">в 2023 году - не менее 60%;</w:t>
            </w:r>
          </w:p>
          <w:p>
            <w:pPr>
              <w:pStyle w:val="0"/>
            </w:pPr>
            <w:r>
              <w:rPr>
                <w:sz w:val="20"/>
              </w:rPr>
              <w:t xml:space="preserve">в 2024 году - не менее 60%;</w:t>
            </w:r>
          </w:p>
          <w:p>
            <w:pPr>
              <w:pStyle w:val="0"/>
            </w:pPr>
            <w:r>
              <w:rPr>
                <w:sz w:val="20"/>
              </w:rPr>
              <w:t xml:space="preserve">в 2025 году - не менее 60%</w:t>
            </w:r>
          </w:p>
        </w:tc>
      </w:tr>
    </w:tbl>
    <w:p>
      <w:pPr>
        <w:pStyle w:val="0"/>
        <w:jc w:val="both"/>
      </w:pPr>
      <w:r>
        <w:rPr>
          <w:sz w:val="20"/>
        </w:rPr>
      </w:r>
    </w:p>
    <w:p>
      <w:pPr>
        <w:pStyle w:val="2"/>
        <w:outlineLvl w:val="1"/>
        <w:jc w:val="center"/>
      </w:pPr>
      <w:r>
        <w:rPr>
          <w:sz w:val="20"/>
        </w:rPr>
        <w:t xml:space="preserve">Раздел I. ОБЩАЯ ХАРАКТЕРИСТИКА СФЕРЫ РЕАЛИЗАЦИИ ПОДПРОГРАММЫ</w:t>
      </w:r>
    </w:p>
    <w:p>
      <w:pPr>
        <w:pStyle w:val="0"/>
        <w:jc w:val="both"/>
      </w:pPr>
      <w:r>
        <w:rPr>
          <w:sz w:val="20"/>
        </w:rPr>
      </w:r>
    </w:p>
    <w:p>
      <w:pPr>
        <w:pStyle w:val="0"/>
        <w:ind w:firstLine="540"/>
        <w:jc w:val="both"/>
      </w:pPr>
      <w:r>
        <w:rPr>
          <w:sz w:val="20"/>
        </w:rPr>
        <w:t xml:space="preserve">Необходимость разработки и реализации Подпрограммы обусловлена потребностью предприятий реального сектора экономики и бюджетной сферы Ханты-Мансийского автономного округа - Югры в трудовых ресурсах.</w:t>
      </w:r>
    </w:p>
    <w:p>
      <w:pPr>
        <w:pStyle w:val="0"/>
        <w:spacing w:before="200" w:line-rule="auto"/>
        <w:ind w:firstLine="540"/>
        <w:jc w:val="both"/>
      </w:pPr>
      <w:r>
        <w:rPr>
          <w:sz w:val="20"/>
        </w:rPr>
        <w:t xml:space="preserve">Ханты-Мансийский автономный округ - Югра (далее - автономный округ) - один из наиболее сильных в экономическом отношении субъектов Российской Федерации, крупнейший нефтедобывающий регион страны, обеспечивающий ее энергетическую безопасность.</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индекс физического объема промышленного производства в 2018 году составил 100,0% (в 2017 году - 99,2%).</w:t>
      </w:r>
    </w:p>
    <w:p>
      <w:pPr>
        <w:pStyle w:val="0"/>
        <w:spacing w:before="200" w:line-rule="auto"/>
        <w:ind w:firstLine="540"/>
        <w:jc w:val="both"/>
      </w:pPr>
      <w:r>
        <w:rPr>
          <w:sz w:val="20"/>
        </w:rPr>
        <w:t xml:space="preserve">Отгружено товаров, выполнено работ и услуг промышленного производства на 4 735,3 млрд. рублей (в 2017 году - 3 756 млрд. рублей).</w:t>
      </w:r>
    </w:p>
    <w:p>
      <w:pPr>
        <w:pStyle w:val="0"/>
        <w:spacing w:before="200" w:line-rule="auto"/>
        <w:ind w:firstLine="540"/>
        <w:jc w:val="both"/>
      </w:pPr>
      <w:r>
        <w:rPr>
          <w:sz w:val="20"/>
        </w:rPr>
        <w:t xml:space="preserve">За 2018 год выполнено строительных работ на общую сумму 338,1 млрд. рублей (159,5% к показателю 2017 года).</w:t>
      </w:r>
    </w:p>
    <w:p>
      <w:pPr>
        <w:pStyle w:val="0"/>
        <w:spacing w:before="200" w:line-rule="auto"/>
        <w:ind w:firstLine="540"/>
        <w:jc w:val="both"/>
      </w:pPr>
      <w:r>
        <w:rPr>
          <w:sz w:val="20"/>
        </w:rPr>
        <w:t xml:space="preserve">Организациями транспорта в 2018 году выполнено услуг в объеме 582,9 млрд. рублей, или 104,3% к уровню 2017 года.</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на 1 января 2019 года на территории автономного округа зарегистрировано 1577 юридических лиц, осуществляющих деятельность в различных отраслях обрабатывающей промышленности, около 30 из них входит в число ведущих компаний России.</w:t>
      </w:r>
    </w:p>
    <w:p>
      <w:pPr>
        <w:pStyle w:val="0"/>
        <w:spacing w:before="200" w:line-rule="auto"/>
        <w:ind w:firstLine="540"/>
        <w:jc w:val="both"/>
      </w:pPr>
      <w:r>
        <w:rPr>
          <w:sz w:val="20"/>
        </w:rPr>
        <w:t xml:space="preserve">На долю промышленности приходится более 70% валовой добавленной стоимости отраслей экономики автономного округа согласно данным Росстата.</w:t>
      </w:r>
    </w:p>
    <w:p>
      <w:pPr>
        <w:pStyle w:val="0"/>
        <w:spacing w:before="200" w:line-rule="auto"/>
        <w:ind w:firstLine="540"/>
        <w:jc w:val="both"/>
      </w:pPr>
      <w:r>
        <w:rPr>
          <w:sz w:val="20"/>
        </w:rPr>
        <w:t xml:space="preserve">В регионе действуют 6 нефтеперерабатывающих предприятий и 9 газоперерабатывающих заводов (Нижневартовский ГПЗ, Южно-Приобский ГПЗ, ОАО "Сургутнефтегаз", ООО "Лукойл-Западная Сибирь", АО "СибурТюменьГаз" и др.).</w:t>
      </w:r>
    </w:p>
    <w:p>
      <w:pPr>
        <w:pStyle w:val="0"/>
        <w:spacing w:before="200" w:line-rule="auto"/>
        <w:ind w:firstLine="540"/>
        <w:jc w:val="both"/>
      </w:pPr>
      <w:r>
        <w:rPr>
          <w:sz w:val="20"/>
        </w:rPr>
        <w:t xml:space="preserve">Крупными производителями лесопромышленной продукции на территории автономного округа являются следующие предприятия:</w:t>
      </w:r>
    </w:p>
    <w:p>
      <w:pPr>
        <w:pStyle w:val="0"/>
        <w:spacing w:before="200" w:line-rule="auto"/>
        <w:ind w:firstLine="540"/>
        <w:jc w:val="both"/>
      </w:pPr>
      <w:r>
        <w:rPr>
          <w:sz w:val="20"/>
        </w:rPr>
        <w:t xml:space="preserve">АО "Югорский лесопромышленный холдинг" (г. Ханты-Мансийск), ООО "Сургутмебель" (п. Барсово, Сургутский район).</w:t>
      </w:r>
    </w:p>
    <w:p>
      <w:pPr>
        <w:pStyle w:val="0"/>
        <w:spacing w:before="200" w:line-rule="auto"/>
        <w:ind w:firstLine="540"/>
        <w:jc w:val="both"/>
      </w:pPr>
      <w:r>
        <w:rPr>
          <w:sz w:val="20"/>
        </w:rPr>
        <w:t xml:space="preserve">В 2018 году при поддержке Правительства автономного округа запущены производства: по изготовлению нефтепогружного кабеля в г. Нижневартовск (компания "Бейкер Хьюз"), созданных рабочих мест - 95 единиц; по нанесению антикоррозийного защитного полимерного покрытия на трубы нефтегазового сортамента в г. Сургут (ООО "Хайлон Петролиум Пайплайн Сервис"), созданных рабочих мест - 150 единиц; по переработке молока в Советском районе (ООО "Советское молоко"), создано 53 рабочих места; по выпуску насосных установок для гидроразрыва пласта (ООО "Эпик 380"), 29 созданных рабочих мест.</w:t>
      </w:r>
    </w:p>
    <w:p>
      <w:pPr>
        <w:pStyle w:val="0"/>
        <w:spacing w:before="200" w:line-rule="auto"/>
        <w:ind w:firstLine="540"/>
        <w:jc w:val="both"/>
      </w:pPr>
      <w:r>
        <w:rPr>
          <w:sz w:val="20"/>
        </w:rPr>
        <w:t xml:space="preserve">На период до 2025 года планируются к реализации следующие инвестиционные проекты:</w:t>
      </w:r>
    </w:p>
    <w:p>
      <w:pPr>
        <w:pStyle w:val="0"/>
        <w:spacing w:before="200" w:line-rule="auto"/>
        <w:ind w:firstLine="540"/>
        <w:jc w:val="both"/>
      </w:pPr>
      <w:r>
        <w:rPr>
          <w:sz w:val="20"/>
        </w:rPr>
        <w:t xml:space="preserve">строительство мостового перехода через реку Обь в районе города Сургута (национальный проект "Безопасные качественные дороги"), планируется создать свыше 300 рабочих мест на период строительства объекта и порядка 60 постоянных рабочих мест для обеспечения его эксплуатации;</w:t>
      </w:r>
    </w:p>
    <w:p>
      <w:pPr>
        <w:pStyle w:val="0"/>
        <w:spacing w:before="200" w:line-rule="auto"/>
        <w:ind w:firstLine="540"/>
        <w:jc w:val="both"/>
      </w:pPr>
      <w:r>
        <w:rPr>
          <w:sz w:val="20"/>
        </w:rPr>
        <w:t xml:space="preserve">создание Научно-технологического центра в городе Сургуте, планируется создание порядка 1800 постоянных рабочих мест;</w:t>
      </w:r>
    </w:p>
    <w:p>
      <w:pPr>
        <w:pStyle w:val="0"/>
        <w:spacing w:before="200" w:line-rule="auto"/>
        <w:ind w:firstLine="540"/>
        <w:jc w:val="both"/>
      </w:pPr>
      <w:r>
        <w:rPr>
          <w:sz w:val="20"/>
        </w:rPr>
        <w:t xml:space="preserve">создание промышленной площадки в городе Нягани, резиденты планируют создать свыше 1500 постоянных рабочих мест;</w:t>
      </w:r>
    </w:p>
    <w:p>
      <w:pPr>
        <w:pStyle w:val="0"/>
        <w:spacing w:before="200" w:line-rule="auto"/>
        <w:ind w:firstLine="540"/>
        <w:jc w:val="both"/>
      </w:pPr>
      <w:r>
        <w:rPr>
          <w:sz w:val="20"/>
        </w:rPr>
        <w:t xml:space="preserve">создание производства по металлообработке в Сургутском муниципальном районе (инициатор ООО "Тенарис-Северсталь"), планируется создание порядка 500 постоянных рабочих мест;</w:t>
      </w:r>
    </w:p>
    <w:p>
      <w:pPr>
        <w:pStyle w:val="0"/>
        <w:spacing w:before="200" w:line-rule="auto"/>
        <w:ind w:firstLine="540"/>
        <w:jc w:val="both"/>
      </w:pPr>
      <w:r>
        <w:rPr>
          <w:sz w:val="20"/>
        </w:rPr>
        <w:t xml:space="preserve">строительство газоперерабатывающего комплекса в Нефтеюганском районе (инициатор проекта ООО "РН-ЮганскГазПереработка"), планируется создать свыше 300 рабочих мест на период строительства объекта и порядка 230 постоянных рабочих мест для обеспечения его эксплуатации.</w:t>
      </w:r>
    </w:p>
    <w:p>
      <w:pPr>
        <w:pStyle w:val="0"/>
        <w:spacing w:before="200" w:line-rule="auto"/>
        <w:ind w:firstLine="540"/>
        <w:jc w:val="both"/>
      </w:pPr>
      <w:r>
        <w:rPr>
          <w:sz w:val="20"/>
        </w:rPr>
        <w:t xml:space="preserve">По предварительной оценке территориального органа Федеральной службы государственной статистики, в автономном округе за 2018 год рост реальной заработной платы составил 3,5% (2017 год - снижение на 0,3%). Среднемесячная начисленная заработная плата за 2018 год к уровню 2017 года увеличилась на 5,7% (по Российской Федерации - на 9,9%) и составила 71,0 тыс. рублей.</w:t>
      </w:r>
    </w:p>
    <w:p>
      <w:pPr>
        <w:pStyle w:val="0"/>
        <w:spacing w:before="200" w:line-rule="auto"/>
        <w:ind w:firstLine="540"/>
        <w:jc w:val="both"/>
      </w:pPr>
      <w:r>
        <w:rPr>
          <w:sz w:val="20"/>
        </w:rPr>
        <w:t xml:space="preserve">Численность постоянного населения автономного округа на 1 января 2019 года, по данным Федеральной службы государственной статистики составила, 1 664,8 тыс. человек (на 1 января 2018 года - 1655,1 тыс. человек).</w:t>
      </w:r>
    </w:p>
    <w:p>
      <w:pPr>
        <w:pStyle w:val="0"/>
        <w:spacing w:before="200" w:line-rule="auto"/>
        <w:ind w:firstLine="540"/>
        <w:jc w:val="both"/>
      </w:pPr>
      <w:r>
        <w:rPr>
          <w:sz w:val="20"/>
        </w:rPr>
        <w:t xml:space="preserve">По информации Федеральной службы государственной статистики, показатель естественного прироста населения в автономном округе за 2018 год составил 12,1 тыс. человек (2017 год - 13,0 тыс. человек), наблюдается миграционная убыль населения - 3,4 тыс. человек (2017 год убыль составила - 4,1 тыс. человек).</w:t>
      </w:r>
    </w:p>
    <w:p>
      <w:pPr>
        <w:pStyle w:val="0"/>
        <w:spacing w:before="200" w:line-rule="auto"/>
        <w:ind w:firstLine="540"/>
        <w:jc w:val="both"/>
      </w:pPr>
      <w:r>
        <w:rPr>
          <w:sz w:val="20"/>
        </w:rPr>
        <w:t xml:space="preserve">Общие итоги миграции и естественного прироста (убыли) населения приведены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p>
      <w:pPr>
        <w:pStyle w:val="0"/>
        <w:jc w:val="right"/>
      </w:pPr>
      <w:r>
        <w:rPr>
          <w:sz w:val="20"/>
        </w:rPr>
        <w:t xml:space="preserve">(человек)</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855"/>
        <w:gridCol w:w="1042"/>
        <w:gridCol w:w="1042"/>
        <w:gridCol w:w="1042"/>
        <w:gridCol w:w="1042"/>
        <w:gridCol w:w="1042"/>
      </w:tblGrid>
      <w:tr>
        <w:tc>
          <w:tcPr>
            <w:tcW w:w="3855" w:type="dxa"/>
          </w:tcPr>
          <w:p>
            <w:pPr>
              <w:pStyle w:val="0"/>
            </w:pPr>
            <w:r>
              <w:rPr>
                <w:sz w:val="20"/>
              </w:rPr>
              <w:t xml:space="preserve">Наименование показателя</w:t>
            </w:r>
          </w:p>
        </w:tc>
        <w:tc>
          <w:tcPr>
            <w:tcW w:w="1042" w:type="dxa"/>
          </w:tcPr>
          <w:p>
            <w:pPr>
              <w:pStyle w:val="0"/>
              <w:jc w:val="center"/>
            </w:pPr>
            <w:r>
              <w:rPr>
                <w:sz w:val="20"/>
              </w:rPr>
              <w:t xml:space="preserve">2014 год</w:t>
            </w:r>
          </w:p>
        </w:tc>
        <w:tc>
          <w:tcPr>
            <w:tcW w:w="1042" w:type="dxa"/>
          </w:tcPr>
          <w:p>
            <w:pPr>
              <w:pStyle w:val="0"/>
              <w:jc w:val="center"/>
            </w:pPr>
            <w:r>
              <w:rPr>
                <w:sz w:val="20"/>
              </w:rPr>
              <w:t xml:space="preserve">2015 год</w:t>
            </w:r>
          </w:p>
        </w:tc>
        <w:tc>
          <w:tcPr>
            <w:tcW w:w="1042" w:type="dxa"/>
          </w:tcPr>
          <w:p>
            <w:pPr>
              <w:pStyle w:val="0"/>
              <w:jc w:val="center"/>
            </w:pPr>
            <w:r>
              <w:rPr>
                <w:sz w:val="20"/>
              </w:rPr>
              <w:t xml:space="preserve">2016 год</w:t>
            </w:r>
          </w:p>
        </w:tc>
        <w:tc>
          <w:tcPr>
            <w:tcW w:w="1042" w:type="dxa"/>
          </w:tcPr>
          <w:p>
            <w:pPr>
              <w:pStyle w:val="0"/>
              <w:jc w:val="center"/>
            </w:pPr>
            <w:r>
              <w:rPr>
                <w:sz w:val="20"/>
              </w:rPr>
              <w:t xml:space="preserve">2017 год</w:t>
            </w:r>
          </w:p>
        </w:tc>
        <w:tc>
          <w:tcPr>
            <w:tcW w:w="1042" w:type="dxa"/>
          </w:tcPr>
          <w:p>
            <w:pPr>
              <w:pStyle w:val="0"/>
              <w:jc w:val="center"/>
            </w:pPr>
            <w:r>
              <w:rPr>
                <w:sz w:val="20"/>
              </w:rPr>
              <w:t xml:space="preserve">2018 год</w:t>
            </w:r>
          </w:p>
        </w:tc>
      </w:tr>
      <w:tr>
        <w:tc>
          <w:tcPr>
            <w:tcW w:w="3855" w:type="dxa"/>
          </w:tcPr>
          <w:p>
            <w:pPr>
              <w:pStyle w:val="0"/>
            </w:pPr>
            <w:r>
              <w:rPr>
                <w:sz w:val="20"/>
              </w:rPr>
              <w:t xml:space="preserve">Число прибывших</w:t>
            </w:r>
          </w:p>
        </w:tc>
        <w:tc>
          <w:tcPr>
            <w:tcW w:w="1042" w:type="dxa"/>
          </w:tcPr>
          <w:p>
            <w:pPr>
              <w:pStyle w:val="0"/>
            </w:pPr>
            <w:r>
              <w:rPr>
                <w:sz w:val="20"/>
              </w:rPr>
              <w:t xml:space="preserve">79910</w:t>
            </w:r>
          </w:p>
        </w:tc>
        <w:tc>
          <w:tcPr>
            <w:tcW w:w="1042" w:type="dxa"/>
          </w:tcPr>
          <w:p>
            <w:pPr>
              <w:pStyle w:val="0"/>
            </w:pPr>
            <w:r>
              <w:rPr>
                <w:sz w:val="20"/>
              </w:rPr>
              <w:t xml:space="preserve">82199</w:t>
            </w:r>
          </w:p>
        </w:tc>
        <w:tc>
          <w:tcPr>
            <w:tcW w:w="1042" w:type="dxa"/>
          </w:tcPr>
          <w:p>
            <w:pPr>
              <w:pStyle w:val="0"/>
            </w:pPr>
            <w:r>
              <w:rPr>
                <w:sz w:val="20"/>
              </w:rPr>
              <w:t xml:space="preserve">86702</w:t>
            </w:r>
          </w:p>
        </w:tc>
        <w:tc>
          <w:tcPr>
            <w:tcW w:w="1042" w:type="dxa"/>
          </w:tcPr>
          <w:p>
            <w:pPr>
              <w:pStyle w:val="0"/>
            </w:pPr>
            <w:r>
              <w:rPr>
                <w:sz w:val="20"/>
              </w:rPr>
              <w:t xml:space="preserve">76217</w:t>
            </w:r>
          </w:p>
        </w:tc>
        <w:tc>
          <w:tcPr>
            <w:tcW w:w="1042" w:type="dxa"/>
          </w:tcPr>
          <w:p>
            <w:pPr>
              <w:pStyle w:val="0"/>
            </w:pPr>
            <w:r>
              <w:rPr>
                <w:sz w:val="20"/>
              </w:rPr>
              <w:t xml:space="preserve">75582</w:t>
            </w:r>
          </w:p>
        </w:tc>
      </w:tr>
      <w:tr>
        <w:tc>
          <w:tcPr>
            <w:tcW w:w="3855" w:type="dxa"/>
          </w:tcPr>
          <w:p>
            <w:pPr>
              <w:pStyle w:val="0"/>
            </w:pPr>
            <w:r>
              <w:rPr>
                <w:sz w:val="20"/>
              </w:rPr>
              <w:t xml:space="preserve">Число выбывших</w:t>
            </w:r>
          </w:p>
        </w:tc>
        <w:tc>
          <w:tcPr>
            <w:tcW w:w="1042" w:type="dxa"/>
          </w:tcPr>
          <w:p>
            <w:pPr>
              <w:pStyle w:val="0"/>
            </w:pPr>
            <w:r>
              <w:rPr>
                <w:sz w:val="20"/>
              </w:rPr>
              <w:t xml:space="preserve">82447</w:t>
            </w:r>
          </w:p>
        </w:tc>
        <w:tc>
          <w:tcPr>
            <w:tcW w:w="1042" w:type="dxa"/>
          </w:tcPr>
          <w:p>
            <w:pPr>
              <w:pStyle w:val="0"/>
            </w:pPr>
            <w:r>
              <w:rPr>
                <w:sz w:val="20"/>
              </w:rPr>
              <w:t xml:space="preserve">84047</w:t>
            </w:r>
          </w:p>
        </w:tc>
        <w:tc>
          <w:tcPr>
            <w:tcW w:w="1042" w:type="dxa"/>
          </w:tcPr>
          <w:p>
            <w:pPr>
              <w:pStyle w:val="0"/>
            </w:pPr>
            <w:r>
              <w:rPr>
                <w:sz w:val="20"/>
              </w:rPr>
              <w:t xml:space="preserve">82838</w:t>
            </w:r>
          </w:p>
        </w:tc>
        <w:tc>
          <w:tcPr>
            <w:tcW w:w="1042" w:type="dxa"/>
          </w:tcPr>
          <w:p>
            <w:pPr>
              <w:pStyle w:val="0"/>
            </w:pPr>
            <w:r>
              <w:rPr>
                <w:sz w:val="20"/>
              </w:rPr>
              <w:t xml:space="preserve">80284</w:t>
            </w:r>
          </w:p>
        </w:tc>
        <w:tc>
          <w:tcPr>
            <w:tcW w:w="1042" w:type="dxa"/>
          </w:tcPr>
          <w:p>
            <w:pPr>
              <w:pStyle w:val="0"/>
            </w:pPr>
            <w:r>
              <w:rPr>
                <w:sz w:val="20"/>
              </w:rPr>
              <w:t xml:space="preserve">79006</w:t>
            </w:r>
          </w:p>
        </w:tc>
      </w:tr>
      <w:tr>
        <w:tc>
          <w:tcPr>
            <w:tcW w:w="3855" w:type="dxa"/>
          </w:tcPr>
          <w:p>
            <w:pPr>
              <w:pStyle w:val="0"/>
            </w:pPr>
            <w:r>
              <w:rPr>
                <w:sz w:val="20"/>
              </w:rPr>
              <w:t xml:space="preserve">Миграционный прирост (убыль)</w:t>
            </w:r>
          </w:p>
        </w:tc>
        <w:tc>
          <w:tcPr>
            <w:tcW w:w="1042" w:type="dxa"/>
          </w:tcPr>
          <w:p>
            <w:pPr>
              <w:pStyle w:val="0"/>
            </w:pPr>
            <w:r>
              <w:rPr>
                <w:sz w:val="20"/>
              </w:rPr>
              <w:t xml:space="preserve">-2537</w:t>
            </w:r>
          </w:p>
        </w:tc>
        <w:tc>
          <w:tcPr>
            <w:tcW w:w="1042" w:type="dxa"/>
          </w:tcPr>
          <w:p>
            <w:pPr>
              <w:pStyle w:val="0"/>
            </w:pPr>
            <w:r>
              <w:rPr>
                <w:sz w:val="20"/>
              </w:rPr>
              <w:t xml:space="preserve">-1848</w:t>
            </w:r>
          </w:p>
        </w:tc>
        <w:tc>
          <w:tcPr>
            <w:tcW w:w="1042" w:type="dxa"/>
          </w:tcPr>
          <w:p>
            <w:pPr>
              <w:pStyle w:val="0"/>
            </w:pPr>
            <w:r>
              <w:rPr>
                <w:sz w:val="20"/>
              </w:rPr>
              <w:t xml:space="preserve">3864</w:t>
            </w:r>
          </w:p>
        </w:tc>
        <w:tc>
          <w:tcPr>
            <w:tcW w:w="1042" w:type="dxa"/>
          </w:tcPr>
          <w:p>
            <w:pPr>
              <w:pStyle w:val="0"/>
            </w:pPr>
            <w:r>
              <w:rPr>
                <w:sz w:val="20"/>
              </w:rPr>
              <w:t xml:space="preserve">-4067</w:t>
            </w:r>
          </w:p>
        </w:tc>
        <w:tc>
          <w:tcPr>
            <w:tcW w:w="1042" w:type="dxa"/>
          </w:tcPr>
          <w:p>
            <w:pPr>
              <w:pStyle w:val="0"/>
            </w:pPr>
            <w:r>
              <w:rPr>
                <w:sz w:val="20"/>
              </w:rPr>
              <w:t xml:space="preserve">-3424</w:t>
            </w:r>
          </w:p>
        </w:tc>
      </w:tr>
      <w:tr>
        <w:tc>
          <w:tcPr>
            <w:tcW w:w="3855" w:type="dxa"/>
          </w:tcPr>
          <w:p>
            <w:pPr>
              <w:pStyle w:val="0"/>
            </w:pPr>
            <w:r>
              <w:rPr>
                <w:sz w:val="20"/>
              </w:rPr>
              <w:t xml:space="preserve">Естественный прирост (убыль)</w:t>
            </w:r>
          </w:p>
        </w:tc>
        <w:tc>
          <w:tcPr>
            <w:tcW w:w="1042" w:type="dxa"/>
          </w:tcPr>
          <w:p>
            <w:pPr>
              <w:pStyle w:val="0"/>
            </w:pPr>
            <w:r>
              <w:rPr>
                <w:sz w:val="20"/>
              </w:rPr>
              <w:t xml:space="preserve">17365</w:t>
            </w:r>
          </w:p>
        </w:tc>
        <w:tc>
          <w:tcPr>
            <w:tcW w:w="1042" w:type="dxa"/>
          </w:tcPr>
          <w:p>
            <w:pPr>
              <w:pStyle w:val="0"/>
            </w:pPr>
            <w:r>
              <w:rPr>
                <w:sz w:val="20"/>
              </w:rPr>
              <w:t xml:space="preserve">16527</w:t>
            </w:r>
          </w:p>
        </w:tc>
        <w:tc>
          <w:tcPr>
            <w:tcW w:w="1042" w:type="dxa"/>
          </w:tcPr>
          <w:p>
            <w:pPr>
              <w:pStyle w:val="0"/>
            </w:pPr>
            <w:r>
              <w:rPr>
                <w:sz w:val="20"/>
              </w:rPr>
              <w:t xml:space="preserve">15459</w:t>
            </w:r>
          </w:p>
        </w:tc>
        <w:tc>
          <w:tcPr>
            <w:tcW w:w="1042" w:type="dxa"/>
          </w:tcPr>
          <w:p>
            <w:pPr>
              <w:pStyle w:val="0"/>
            </w:pPr>
            <w:r>
              <w:rPr>
                <w:sz w:val="20"/>
              </w:rPr>
              <w:t xml:space="preserve">13063</w:t>
            </w:r>
          </w:p>
        </w:tc>
        <w:tc>
          <w:tcPr>
            <w:tcW w:w="1042" w:type="dxa"/>
          </w:tcPr>
          <w:p>
            <w:pPr>
              <w:pStyle w:val="0"/>
            </w:pPr>
            <w:r>
              <w:rPr>
                <w:sz w:val="20"/>
              </w:rPr>
              <w:t xml:space="preserve">12073</w:t>
            </w:r>
          </w:p>
        </w:tc>
      </w:tr>
    </w:tbl>
    <w:p>
      <w:pPr>
        <w:pStyle w:val="0"/>
        <w:jc w:val="both"/>
      </w:pPr>
      <w:r>
        <w:rPr>
          <w:sz w:val="20"/>
        </w:rPr>
      </w:r>
    </w:p>
    <w:p>
      <w:pPr>
        <w:pStyle w:val="0"/>
        <w:ind w:firstLine="540"/>
        <w:jc w:val="both"/>
      </w:pPr>
      <w:r>
        <w:rPr>
          <w:sz w:val="20"/>
        </w:rPr>
        <w:t xml:space="preserve">Ежегодно в регион для работы прибывают 25 тыс. иностранных граждан. Основная часть - это граждане, осуществляющие трудовую деятельность по патенту.</w:t>
      </w:r>
    </w:p>
    <w:p>
      <w:pPr>
        <w:pStyle w:val="0"/>
        <w:spacing w:before="200" w:line-rule="auto"/>
        <w:ind w:firstLine="540"/>
        <w:jc w:val="both"/>
      </w:pPr>
      <w:r>
        <w:rPr>
          <w:sz w:val="20"/>
        </w:rPr>
        <w:t xml:space="preserve">Уровень регистрируемой безработицы на 1 января 2018 года - 0,49% от экономически активного населения (Российская Федерация - 1,0%). Коэффициент напряженности - 0,5 человек, не занятых трудовой деятельностью, на 1 свободное рабочее место (Российская Федерация - 0,6).</w:t>
      </w:r>
    </w:p>
    <w:p>
      <w:pPr>
        <w:pStyle w:val="0"/>
        <w:spacing w:before="200" w:line-rule="auto"/>
        <w:ind w:firstLine="540"/>
        <w:jc w:val="both"/>
      </w:pPr>
      <w:r>
        <w:rPr>
          <w:sz w:val="20"/>
        </w:rPr>
        <w:t xml:space="preserve">На 1 января 2019 года численность безработных граждан, зарегистрированных в органах службы занятости населения, составила 4,0 тыс. человек (на 1 января 2018 года - 4,5 тыс. человек).</w:t>
      </w:r>
    </w:p>
    <w:p>
      <w:pPr>
        <w:pStyle w:val="0"/>
        <w:spacing w:before="200" w:line-rule="auto"/>
        <w:ind w:firstLine="540"/>
        <w:jc w:val="both"/>
      </w:pPr>
      <w:r>
        <w:rPr>
          <w:sz w:val="20"/>
        </w:rPr>
        <w:t xml:space="preserve">По итогам 2018 года отмечается увеличение спроса работодателей на рабочую силу, количество заявленных вакансий составило 14,8 тыс. единиц (на 1 января 2018 года - 13,6 тыс. единиц). Увеличение вакансий и снижение численности незанятых граждан, обратившихся в органы службы занятости за содействием в поиске подходящей работы, повлияло на снижение коэффициента напряженности на регистрируемом рынке труда, в целом по автономному округу на каждого незанятого трудовой деятельностью приходится 2,5 вакансии, заявленные работодателями.</w:t>
      </w:r>
    </w:p>
    <w:p>
      <w:pPr>
        <w:pStyle w:val="0"/>
        <w:spacing w:before="200" w:line-rule="auto"/>
        <w:ind w:firstLine="540"/>
        <w:jc w:val="both"/>
      </w:pPr>
      <w:r>
        <w:rPr>
          <w:sz w:val="20"/>
        </w:rPr>
        <w:t xml:space="preserve">В 2018 году уровень регистрируемой безработицы в автономном округе ниже среднероссийского уровня на 0,47 п.п. (по Российской Федерации - 0,9%, по Уральскому федеральному округу - 0,9%).</w:t>
      </w:r>
    </w:p>
    <w:p>
      <w:pPr>
        <w:pStyle w:val="0"/>
        <w:spacing w:before="200" w:line-rule="auto"/>
        <w:ind w:firstLine="540"/>
        <w:jc w:val="both"/>
      </w:pPr>
      <w:r>
        <w:rPr>
          <w:sz w:val="20"/>
        </w:rPr>
        <w:t xml:space="preserve">Заявленная работодателями потребность в квалифицированных работниках по видам занятости выглядит следующим образом: 20% вакансий руководителей, специалистов высшего уровня квалификации; 7% - специалистов среднего уровня квалификации и служащих, занятых подготовкой информации; 17% - работников сферы обслуживания и торговли, охраны граждан и собственности; 41,5% - вакансии для квалифицированных рабочих, операторов производственных установок и машин, сборщиков и водителей.</w:t>
      </w:r>
    </w:p>
    <w:p>
      <w:pPr>
        <w:pStyle w:val="0"/>
        <w:spacing w:before="200" w:line-rule="auto"/>
        <w:ind w:firstLine="540"/>
        <w:jc w:val="both"/>
      </w:pPr>
      <w:r>
        <w:rPr>
          <w:sz w:val="20"/>
        </w:rPr>
        <w:t xml:space="preserve">Повышенным спросом работодателей пользовались рабочие профессии: водители, бурильщики, машинисты, электромонтеры, мотористы, электрогазосварщики, повара, слесари, продавцы, стропальщики, слесари-сантехники, плотники, штукатуры и другие. Из служащих были востребованы инженеры, бухгалтера, мастера по ремонту скважин, медицинские сестры, делопроизводители, экономисты, педагогические работники, юрисконсульты, менеджеры, администраторы, механики, врачи и другие.</w:t>
      </w:r>
    </w:p>
    <w:p>
      <w:pPr>
        <w:pStyle w:val="0"/>
        <w:spacing w:before="200" w:line-rule="auto"/>
        <w:ind w:firstLine="540"/>
        <w:jc w:val="both"/>
      </w:pPr>
      <w:r>
        <w:rPr>
          <w:sz w:val="20"/>
        </w:rPr>
        <w:t xml:space="preserve">Наиболее полная информация об имеющихся вакансиях в автономном округе для трудоустройства участников Государственной программы и членов их семей представлена на:</w:t>
      </w:r>
    </w:p>
    <w:p>
      <w:pPr>
        <w:pStyle w:val="0"/>
        <w:spacing w:before="200" w:line-rule="auto"/>
        <w:ind w:firstLine="540"/>
        <w:jc w:val="both"/>
      </w:pPr>
      <w:r>
        <w:rPr>
          <w:sz w:val="20"/>
        </w:rPr>
        <w:t xml:space="preserve">информационном портале Роструда "Работа в России" </w:t>
      </w:r>
      <w:r>
        <w:rPr>
          <w:sz w:val="20"/>
        </w:rPr>
        <w:t xml:space="preserve">http://www.trudvsem.ru</w:t>
      </w:r>
      <w:r>
        <w:rPr>
          <w:sz w:val="20"/>
        </w:rPr>
        <w:t xml:space="preserve">, где классификация по регионам, профессиям, размеру заработной платы, дополнительным условиям, включая возможность переезда;</w:t>
      </w:r>
    </w:p>
    <w:p>
      <w:pPr>
        <w:pStyle w:val="0"/>
        <w:spacing w:before="200" w:line-rule="auto"/>
        <w:ind w:firstLine="540"/>
        <w:jc w:val="both"/>
      </w:pPr>
      <w:r>
        <w:rPr>
          <w:sz w:val="20"/>
        </w:rPr>
        <w:t xml:space="preserve">интерактивном портале Уполномоченный орган Югры: </w:t>
      </w:r>
      <w:r>
        <w:rPr>
          <w:sz w:val="20"/>
        </w:rPr>
        <w:t xml:space="preserve">http://job.admhmao.ru</w:t>
      </w:r>
      <w:r>
        <w:rPr>
          <w:sz w:val="20"/>
        </w:rPr>
        <w:t xml:space="preserve"> (раздел "Для граждан", подраздел "Поиск работы");</w:t>
      </w:r>
    </w:p>
    <w:p>
      <w:pPr>
        <w:pStyle w:val="0"/>
        <w:spacing w:before="200" w:line-rule="auto"/>
        <w:ind w:firstLine="540"/>
        <w:jc w:val="both"/>
      </w:pPr>
      <w:r>
        <w:rPr>
          <w:sz w:val="20"/>
        </w:rPr>
        <w:t xml:space="preserve">информационном портале автономного округа: </w:t>
      </w:r>
      <w:r>
        <w:rPr>
          <w:sz w:val="20"/>
        </w:rPr>
        <w:t xml:space="preserve">http://www.deptrud.admhmao.ru</w:t>
      </w:r>
      <w:r>
        <w:rPr>
          <w:sz w:val="20"/>
        </w:rPr>
        <w:t xml:space="preserve"> (раздел "Для граждан", подраздел "Поиск работы").</w:t>
      </w:r>
    </w:p>
    <w:p>
      <w:pPr>
        <w:pStyle w:val="0"/>
        <w:spacing w:before="200" w:line-rule="auto"/>
        <w:ind w:firstLine="540"/>
        <w:jc w:val="both"/>
      </w:pPr>
      <w:r>
        <w:rPr>
          <w:sz w:val="20"/>
        </w:rPr>
        <w:t xml:space="preserve">Вместе с тем на рынке труда автономного округа существует ряд проблем:</w:t>
      </w:r>
    </w:p>
    <w:p>
      <w:pPr>
        <w:pStyle w:val="0"/>
        <w:spacing w:before="200" w:line-rule="auto"/>
        <w:ind w:firstLine="540"/>
        <w:jc w:val="both"/>
      </w:pPr>
      <w:r>
        <w:rPr>
          <w:sz w:val="20"/>
        </w:rPr>
        <w:t xml:space="preserve">1) дисбаланс между спросом и предложением рабочей силы;</w:t>
      </w:r>
    </w:p>
    <w:p>
      <w:pPr>
        <w:pStyle w:val="0"/>
        <w:spacing w:before="200" w:line-rule="auto"/>
        <w:ind w:firstLine="540"/>
        <w:jc w:val="both"/>
      </w:pPr>
      <w:r>
        <w:rPr>
          <w:sz w:val="20"/>
        </w:rPr>
        <w:t xml:space="preserve">2) территориальная несбалансированность трудовых ресурсов (основная часть вакансий сосредоточена в крупных городах: г. Нижневартовск (17,9% от всех вакансий, заявленных в органы службы занятости населения), г. Сургут (13,0%), г. Нефтеюганск (7,4%)).</w:t>
      </w:r>
    </w:p>
    <w:p>
      <w:pPr>
        <w:pStyle w:val="0"/>
        <w:spacing w:before="200" w:line-rule="auto"/>
        <w:ind w:firstLine="540"/>
        <w:jc w:val="both"/>
      </w:pPr>
      <w:r>
        <w:rPr>
          <w:sz w:val="20"/>
        </w:rPr>
        <w:t xml:space="preserve">Для решения этих проблем необходим приток населения из числа квалифицированных кадров.</w:t>
      </w:r>
    </w:p>
    <w:p>
      <w:pPr>
        <w:pStyle w:val="0"/>
        <w:spacing w:before="200" w:line-rule="auto"/>
        <w:ind w:firstLine="540"/>
        <w:jc w:val="both"/>
      </w:pPr>
      <w:r>
        <w:rPr>
          <w:sz w:val="20"/>
        </w:rPr>
        <w:t xml:space="preserve">Подпрограмма направлена на объединение потенциала соотечественников из числа квалифицированных специалистов, проживающих за рубежом, с потребностями развития автономного округа.</w:t>
      </w:r>
    </w:p>
    <w:p>
      <w:pPr>
        <w:pStyle w:val="0"/>
        <w:spacing w:before="200" w:line-rule="auto"/>
        <w:ind w:firstLine="540"/>
        <w:jc w:val="both"/>
      </w:pPr>
      <w:r>
        <w:rPr>
          <w:sz w:val="20"/>
        </w:rPr>
        <w:t xml:space="preserve">Содействие добровольному переселению в регион соотечественников является одним из направлений решения проблемы дисбаланса рабочей силы в автономном округе.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 региона.</w:t>
      </w:r>
    </w:p>
    <w:p>
      <w:pPr>
        <w:pStyle w:val="0"/>
        <w:spacing w:before="200" w:line-rule="auto"/>
        <w:ind w:firstLine="540"/>
        <w:jc w:val="both"/>
      </w:pPr>
      <w:r>
        <w:rPr>
          <w:sz w:val="20"/>
        </w:rPr>
        <w:t xml:space="preserve">Основными принципами оказания содействия добровольному переселению соотечественников в автономный округ являются:</w:t>
      </w:r>
    </w:p>
    <w:p>
      <w:pPr>
        <w:pStyle w:val="0"/>
        <w:spacing w:before="200" w:line-rule="auto"/>
        <w:ind w:firstLine="540"/>
        <w:jc w:val="both"/>
      </w:pPr>
      <w:r>
        <w:rPr>
          <w:sz w:val="20"/>
        </w:rPr>
        <w:t xml:space="preserve">добровольность участия в Подпрограмме;</w:t>
      </w:r>
    </w:p>
    <w:p>
      <w:pPr>
        <w:pStyle w:val="0"/>
        <w:spacing w:before="200" w:line-rule="auto"/>
        <w:ind w:firstLine="540"/>
        <w:jc w:val="both"/>
      </w:pPr>
      <w:r>
        <w:rPr>
          <w:sz w:val="20"/>
        </w:rPr>
        <w:t xml:space="preserve">финансовая обеспеченность основных мероприятий Подпрограммы;</w:t>
      </w:r>
    </w:p>
    <w:p>
      <w:pPr>
        <w:pStyle w:val="0"/>
        <w:spacing w:before="200" w:line-rule="auto"/>
        <w:ind w:firstLine="540"/>
        <w:jc w:val="both"/>
      </w:pPr>
      <w:r>
        <w:rPr>
          <w:sz w:val="20"/>
        </w:rPr>
        <w:t xml:space="preserve">обеспечение баланса интересов соотечественников и принимающего сообщества;</w:t>
      </w:r>
    </w:p>
    <w:p>
      <w:pPr>
        <w:pStyle w:val="0"/>
        <w:spacing w:before="200" w:line-rule="auto"/>
        <w:ind w:firstLine="540"/>
        <w:jc w:val="both"/>
      </w:pPr>
      <w:r>
        <w:rPr>
          <w:sz w:val="20"/>
        </w:rPr>
        <w:t xml:space="preserve">приоритет мер социально-экономического стимулирования, определяющих рамочные условия и характер переселения, а также направленность этого процесса;</w:t>
      </w:r>
    </w:p>
    <w:p>
      <w:pPr>
        <w:pStyle w:val="0"/>
        <w:spacing w:before="200" w:line-rule="auto"/>
        <w:ind w:firstLine="540"/>
        <w:jc w:val="both"/>
      </w:pPr>
      <w:r>
        <w:rPr>
          <w:sz w:val="20"/>
        </w:rPr>
        <w:t xml:space="preserve">адресность государственных гарантий и социальной поддержки, обусловленность их предоставления соблюдением участниками Государственной программы условий участия в Подпрограмме;</w:t>
      </w:r>
    </w:p>
    <w:p>
      <w:pPr>
        <w:pStyle w:val="0"/>
        <w:spacing w:before="200" w:line-rule="auto"/>
        <w:ind w:firstLine="540"/>
        <w:jc w:val="both"/>
      </w:pPr>
      <w:r>
        <w:rPr>
          <w:sz w:val="20"/>
        </w:rPr>
        <w:t xml:space="preserve">взаимосвязь содержания основных мероприятий Подпрограммы и задач социально-экономического развития автономного округа;</w:t>
      </w:r>
    </w:p>
    <w:p>
      <w:pPr>
        <w:pStyle w:val="0"/>
        <w:spacing w:before="200" w:line-rule="auto"/>
        <w:ind w:firstLine="540"/>
        <w:jc w:val="both"/>
      </w:pPr>
      <w:r>
        <w:rPr>
          <w:sz w:val="20"/>
        </w:rPr>
        <w:t xml:space="preserve">доступность информации об условиях участия в Подпрограмме, правах и обязательствах участников Государственной программы, объемах государственных гарантий и социальной поддержки, а также о социально-экономических характеристиках автономного округа.</w:t>
      </w:r>
    </w:p>
    <w:p>
      <w:pPr>
        <w:pStyle w:val="0"/>
        <w:spacing w:before="200" w:line-rule="auto"/>
        <w:ind w:firstLine="540"/>
        <w:jc w:val="both"/>
      </w:pPr>
      <w:r>
        <w:rPr>
          <w:sz w:val="20"/>
        </w:rPr>
        <w:t xml:space="preserve">Реализация мероприятий по содействию трудоустройству участников Государственной программы позволит заполнить длительно существующие в автономном округе вакансии по востребованным на рынке труда профессиям (специальностям) и содействовать обеспечению потребности региона квалифицированными кадрами.</w:t>
      </w:r>
    </w:p>
    <w:p>
      <w:pPr>
        <w:pStyle w:val="0"/>
        <w:spacing w:before="200" w:line-rule="auto"/>
        <w:ind w:firstLine="540"/>
        <w:jc w:val="both"/>
      </w:pPr>
      <w:r>
        <w:rPr>
          <w:sz w:val="20"/>
        </w:rPr>
        <w:t xml:space="preserve">Таким образом, в автономном округе существует реальная необходимость привлечения дополнительной рабочей силы путем оказания содействия добровольному переселению в автономный округ соотечественников, проживающих за рубежом.</w:t>
      </w:r>
    </w:p>
    <w:p>
      <w:pPr>
        <w:pStyle w:val="0"/>
        <w:spacing w:before="200" w:line-rule="auto"/>
        <w:ind w:firstLine="540"/>
        <w:jc w:val="both"/>
      </w:pPr>
      <w:r>
        <w:rPr>
          <w:sz w:val="20"/>
        </w:rPr>
        <w:t xml:space="preserve">На 1 января 2019 года в регионе осуществляют образовательную деятельность 3 образовательные организации высшего образования, 18 профессиональных образовательных организаций.</w:t>
      </w:r>
    </w:p>
    <w:p>
      <w:pPr>
        <w:pStyle w:val="0"/>
        <w:spacing w:before="200" w:line-rule="auto"/>
        <w:ind w:firstLine="540"/>
        <w:jc w:val="both"/>
      </w:pPr>
      <w:r>
        <w:rPr>
          <w:sz w:val="20"/>
        </w:rPr>
        <w:t xml:space="preserve">В образовательных организациях высшего образования ведется подготовка по 47 специальностям и направлениям подготовки высшего образования (бакалавриат, специалитет, магистратура); в профессиональных образовательных организациях - по 103 специальностям и профессиям для ведущих отраслей экономики автономного округа: нефтегазовой, строительной, транспортной, энергетической и социальной сферы.</w:t>
      </w:r>
    </w:p>
    <w:p>
      <w:pPr>
        <w:pStyle w:val="0"/>
        <w:spacing w:before="200" w:line-rule="auto"/>
        <w:ind w:firstLine="540"/>
        <w:jc w:val="both"/>
      </w:pPr>
      <w:r>
        <w:rPr>
          <w:sz w:val="20"/>
        </w:rPr>
        <w:t xml:space="preserve">В соответствии со </w:t>
      </w:r>
      <w:hyperlink w:history="0" r:id="rId7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78</w:t>
        </w:r>
      </w:hyperlink>
      <w:r>
        <w:rPr>
          <w:sz w:val="20"/>
        </w:rPr>
        <w:t xml:space="preserve"> Федерального закона N 273-ФЗ от 29 декабря 2012 года "Об образовании в Российской Федерации" (далее - Закон об образовании) иностранные граждане и лица без гражданства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за счет средств физических лиц и юридических лиц в соответствии с договорами об оказании платных образовательных услуг.</w:t>
      </w:r>
    </w:p>
    <w:p>
      <w:pPr>
        <w:pStyle w:val="0"/>
        <w:spacing w:before="200" w:line-rule="auto"/>
        <w:ind w:firstLine="540"/>
        <w:jc w:val="both"/>
      </w:pPr>
      <w:r>
        <w:rPr>
          <w:sz w:val="20"/>
        </w:rPr>
        <w:t xml:space="preserve">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w:t>
      </w:r>
    </w:p>
    <w:p>
      <w:pPr>
        <w:pStyle w:val="0"/>
        <w:spacing w:before="200" w:line-rule="auto"/>
        <w:ind w:firstLine="540"/>
        <w:jc w:val="both"/>
      </w:pPr>
      <w:r>
        <w:rPr>
          <w:sz w:val="20"/>
        </w:rPr>
        <w:t xml:space="preserve">Соотечественники, проживающие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представления ими документов или иных доказательств, предусмотренных </w:t>
      </w:r>
      <w:hyperlink w:history="0" r:id="rId77"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17</w:t>
        </w:r>
      </w:hyperlink>
      <w:r>
        <w:rPr>
          <w:sz w:val="20"/>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pPr>
        <w:pStyle w:val="0"/>
        <w:spacing w:before="200" w:line-rule="auto"/>
        <w:ind w:firstLine="540"/>
        <w:jc w:val="both"/>
      </w:pPr>
      <w:r>
        <w:rPr>
          <w:sz w:val="20"/>
        </w:rPr>
        <w:t xml:space="preserve">Соотечественники имеют право принимать участие в научных и иных проектах, финансируемых Российским фондом фундаментальных исследований, а также на осуществление научной и научно-исследовательской деятельности, проводимой образовательными организациями высшего образования или научными организациями.</w:t>
      </w:r>
    </w:p>
    <w:p>
      <w:pPr>
        <w:pStyle w:val="0"/>
        <w:spacing w:before="200" w:line-rule="auto"/>
        <w:ind w:firstLine="540"/>
        <w:jc w:val="both"/>
      </w:pPr>
      <w:r>
        <w:rPr>
          <w:sz w:val="20"/>
        </w:rPr>
        <w:t xml:space="preserve">На 1 января 2019 года в автономном округе насчитывается 416 дошкольных образовательных организаций, осуществляющих обучение по образовательным программам дошкольного образования (в том числе 302 муниципальные), которые посещают 119,5 тыс. детей.</w:t>
      </w:r>
    </w:p>
    <w:p>
      <w:pPr>
        <w:pStyle w:val="0"/>
        <w:spacing w:before="200" w:line-rule="auto"/>
        <w:ind w:firstLine="540"/>
        <w:jc w:val="both"/>
      </w:pPr>
      <w:r>
        <w:rPr>
          <w:sz w:val="20"/>
        </w:rPr>
        <w:t xml:space="preserve">Согласно </w:t>
      </w:r>
      <w:hyperlink w:history="0" r:id="rId78" w:tooltip="Приказ Минпросвещения России от 15.05.2020 N 236 (ред. от 23.01.2023) &quot;Об утверждении Порядка приема на обучение по образовательным программам дошкольного образования&quot; (Зарегистрировано в Минюсте России 17.06.2020 N 58681) {КонсультантПлюс}">
        <w:r>
          <w:rPr>
            <w:sz w:val="20"/>
            <w:color w:val="0000ff"/>
          </w:rPr>
          <w:t xml:space="preserve">пункту 2</w:t>
        </w:r>
      </w:hyperlink>
      <w:r>
        <w:rPr>
          <w:sz w:val="20"/>
        </w:rPr>
        <w:t xml:space="preserve"> Порядка приема на обучение по образовательным программам дошкольного образования, утвержденного приказом Министерства просвещения Российской Федерации от 15 мая 2020 года N 236 (зарегистрирован в Министерстве юстиции Российской Федерации 17 июня 2020 года N 58681), прием иностранных граждан и лиц без гражданства, в том числе соотечественников, проживающих за рубежом, в дошкольные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w:history="0" r:id="rId7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Сеть учреждений социального обслуживания по состоянию на 1 января 2019 года включает 47 организаций, из них: 28 организаций социального обслуживания для граждан пожилого возраста и инвалидов, 17 организаций социального обслуживания семьи и детей, бюджетное учреждение Ханты-Мансийского автономного округа - Югры "Методический центр развития социального обслуживания" и казенное учреждение Ханты-Мансийского автономного округа - Югры "Центр социальных выплат".</w:t>
      </w:r>
    </w:p>
    <w:p>
      <w:pPr>
        <w:pStyle w:val="0"/>
        <w:spacing w:before="200" w:line-rule="auto"/>
        <w:ind w:firstLine="540"/>
        <w:jc w:val="both"/>
      </w:pPr>
      <w:r>
        <w:rPr>
          <w:sz w:val="20"/>
        </w:rPr>
        <w:t xml:space="preserve">Количество мер социальной поддержки, предоставленных гражданам в 2018 году, - 96 (2017 год - 92).</w:t>
      </w:r>
    </w:p>
    <w:p>
      <w:pPr>
        <w:pStyle w:val="0"/>
        <w:spacing w:before="200" w:line-rule="auto"/>
        <w:ind w:firstLine="540"/>
        <w:jc w:val="both"/>
      </w:pPr>
      <w:r>
        <w:rPr>
          <w:sz w:val="20"/>
        </w:rPr>
        <w:t xml:space="preserve">Участники Государственной программы (постоянно проживающие на территории Российской Федерации иностранные граждане и лица без гражданства, а также беженцы и временно проживающие на территории Российской Федерации,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 могут воспользоваться государственными пособиями, установленными Федеральным </w:t>
      </w:r>
      <w:hyperlink w:history="0" r:id="rId80" w:tooltip="Федеральный закон от 19.05.1995 N 81-ФЗ (ред. от 21.11.2022) &quot;О государственных пособиях гражданам, имеющим детей&quot; {КонсультантПлюс}">
        <w:r>
          <w:rPr>
            <w:sz w:val="20"/>
            <w:color w:val="0000ff"/>
          </w:rPr>
          <w:t xml:space="preserve">законом</w:t>
        </w:r>
      </w:hyperlink>
      <w:r>
        <w:rPr>
          <w:sz w:val="20"/>
        </w:rPr>
        <w:t xml:space="preserve"> от 19 мая 1995 года N 81-ФЗ "О государственных пособиях гражданам, имеющим детей":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ежемесячное пособие на ребенка военнослужащего, проходящего военную службу по призыву.</w:t>
      </w:r>
    </w:p>
    <w:p>
      <w:pPr>
        <w:pStyle w:val="0"/>
        <w:spacing w:before="200" w:line-rule="auto"/>
        <w:ind w:firstLine="540"/>
        <w:jc w:val="both"/>
      </w:pPr>
      <w:r>
        <w:rPr>
          <w:sz w:val="20"/>
        </w:rPr>
        <w:t xml:space="preserve">Участникам Государственной программы (ставшим гражданами Российской Федерации, постоянно или временно проживающим в автономном округе), имеющим доход ниже величины прожиточного минимума, предоставляется государственная социальная помощь в соответствии с </w:t>
      </w:r>
      <w:hyperlink w:history="0" r:id="rId81" w:tooltip="Закон ХМАО - Югры от 24.12.2007 N 197-оз (ред. от 25.05.2023) &quot;О государственной социальной помощи и дополнительных мерах социальной помощи населению Ханты-Мансийского автономного округа - Югры&quot; (принят Думой Ханты-Мансийского автономного округа - Югры 06.12.2007) {КонсультантПлюс}">
        <w:r>
          <w:rPr>
            <w:sz w:val="20"/>
            <w:color w:val="0000ff"/>
          </w:rPr>
          <w:t xml:space="preserve">Законом</w:t>
        </w:r>
      </w:hyperlink>
      <w:r>
        <w:rPr>
          <w:sz w:val="20"/>
        </w:rPr>
        <w:t xml:space="preserve">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p>
      <w:pPr>
        <w:pStyle w:val="0"/>
        <w:spacing w:before="200" w:line-rule="auto"/>
        <w:ind w:firstLine="540"/>
        <w:jc w:val="both"/>
      </w:pPr>
      <w:r>
        <w:rPr>
          <w:sz w:val="20"/>
        </w:rPr>
        <w:t xml:space="preserve">В 2018 году в автономном округе введено 586,0 тыс. кв. м общей площади жилых домов, из них 122,9 тыс. кв. м или 21,0% приходится на индивидуальное жилищное строительство.</w:t>
      </w:r>
    </w:p>
    <w:p>
      <w:pPr>
        <w:pStyle w:val="0"/>
        <w:spacing w:before="200" w:line-rule="auto"/>
        <w:ind w:firstLine="540"/>
        <w:jc w:val="both"/>
      </w:pPr>
      <w:r>
        <w:rPr>
          <w:sz w:val="20"/>
        </w:rPr>
        <w:t xml:space="preserve">На 1 января 2019 года в регионе функционируют 5 наемных домов коммерческого использования в городах Нефтеюганск, Сургут, Ханты-Мансийск общей площадью 32,3 тыс. кв. м (730 квартир) и 1 наемный дом социального использования в г. Сургуте, общей площадью 22,5 тыс. кв. м, включающий 512 квартир.</w:t>
      </w:r>
    </w:p>
    <w:p>
      <w:pPr>
        <w:pStyle w:val="0"/>
        <w:spacing w:before="200" w:line-rule="auto"/>
        <w:ind w:firstLine="540"/>
        <w:jc w:val="both"/>
      </w:pPr>
      <w:r>
        <w:rPr>
          <w:sz w:val="20"/>
        </w:rPr>
        <w:t xml:space="preserve">Проводится подготовка к эксплуатации 1 наемного дома коммерческого использования в г. Нижневартовске на 178 квартир, 2 наемных дома социального использования в городах Мегионе и Пыть-Яхе на 201 квартиру.</w:t>
      </w:r>
    </w:p>
    <w:p>
      <w:pPr>
        <w:pStyle w:val="0"/>
        <w:spacing w:before="200" w:line-rule="auto"/>
        <w:ind w:firstLine="540"/>
        <w:jc w:val="both"/>
      </w:pPr>
      <w:r>
        <w:rPr>
          <w:sz w:val="20"/>
        </w:rPr>
        <w:t xml:space="preserve">Все наемные дома коммерческого использования располагаются в районах с развитой инфраструктурой, с подключением в городскую систему "Безопасный город", имеют жилые помещения различной конфигурации (студии, 1-, 2-, 3-комнатные квартиры). Жители наемных домов коммерческого использования имеют возможность получения регистрации по месту пребывания на период проживания.</w:t>
      </w:r>
    </w:p>
    <w:p>
      <w:pPr>
        <w:pStyle w:val="0"/>
        <w:spacing w:before="200" w:line-rule="auto"/>
        <w:ind w:firstLine="540"/>
        <w:jc w:val="both"/>
      </w:pPr>
      <w:r>
        <w:rPr>
          <w:sz w:val="20"/>
        </w:rPr>
        <w:t xml:space="preserve">Информация о наемных домах коммерческого использования размещена в сети Интернет на сайте prostodomugra.ru.</w:t>
      </w:r>
    </w:p>
    <w:p>
      <w:pPr>
        <w:pStyle w:val="0"/>
        <w:spacing w:before="200" w:line-rule="auto"/>
        <w:ind w:firstLine="540"/>
        <w:jc w:val="both"/>
      </w:pPr>
      <w:r>
        <w:rPr>
          <w:sz w:val="20"/>
        </w:rPr>
        <w:t xml:space="preserve">Информация о наемном доме социального использования опубликована на официальном портале администрации г. Сургут.</w:t>
      </w:r>
    </w:p>
    <w:p>
      <w:pPr>
        <w:pStyle w:val="0"/>
        <w:spacing w:before="200" w:line-rule="auto"/>
        <w:ind w:firstLine="540"/>
        <w:jc w:val="both"/>
      </w:pPr>
      <w:r>
        <w:rPr>
          <w:sz w:val="20"/>
        </w:rPr>
        <w:t xml:space="preserve">Предоставление жилых помещений в наемных домах социального использования осуществляется в соответствии с Жилищным </w:t>
      </w:r>
      <w:hyperlink w:history="0" r:id="rId82" w:tooltip="&quot;Жилищный кодекс Российской Федерации&quot; от 29.12.2004 N 188-ФЗ (ред. от 14.11.2023) {КонсультантПлюс}">
        <w:r>
          <w:rPr>
            <w:sz w:val="20"/>
            <w:color w:val="0000ff"/>
          </w:rPr>
          <w:t xml:space="preserve">кодексом</w:t>
        </w:r>
      </w:hyperlink>
      <w:r>
        <w:rPr>
          <w:sz w:val="20"/>
        </w:rPr>
        <w:t xml:space="preserve"> Российской Федерации гражданам, признанным нуждающимися в таковых и не имеющим достаточных доходов для самостоятельного приобретения жилых помещений в собственность.</w:t>
      </w:r>
    </w:p>
    <w:p>
      <w:pPr>
        <w:pStyle w:val="0"/>
        <w:spacing w:before="200" w:line-rule="auto"/>
        <w:ind w:firstLine="540"/>
        <w:jc w:val="both"/>
      </w:pPr>
      <w:r>
        <w:rPr>
          <w:sz w:val="20"/>
        </w:rPr>
        <w:t xml:space="preserve">В дальнейшем планируется создание наемных домов коммерческого использования в г. Нижневартовск, общей площадью 5 863,4 кв. м на 178 квартир, в г. Сургуте, площадью 11299,2 кв. м на 264 квартир, в г. Пыть-Яхе, общей площадью 8 905,3 кв. м на 145 квартир и Советском районе (г. Советский), общей площадью 3 476,55 кв. м на 70 квартир, а также 2 наемных дома социального использования в г. Мегионе: в п. Высокий, общей площадью 2 826,8 кв. м на 56 квартир и общей площадью 6 122,2 кв. м на 112 квартир.</w:t>
      </w:r>
    </w:p>
    <w:p>
      <w:pPr>
        <w:pStyle w:val="0"/>
        <w:spacing w:before="200" w:line-rule="auto"/>
        <w:ind w:firstLine="540"/>
        <w:jc w:val="both"/>
      </w:pPr>
      <w:r>
        <w:rPr>
          <w:sz w:val="20"/>
        </w:rPr>
        <w:t xml:space="preserve">Общая площадь жилых помещений, приходящихся в среднем на 1 жителя региона на 1 января 2019 года, составила 21,1 кв. м (2017 год - 20,8 кв. м).</w:t>
      </w:r>
    </w:p>
    <w:p>
      <w:pPr>
        <w:pStyle w:val="0"/>
        <w:spacing w:before="200" w:line-rule="auto"/>
        <w:ind w:firstLine="540"/>
        <w:jc w:val="both"/>
      </w:pPr>
      <w:r>
        <w:rPr>
          <w:sz w:val="20"/>
        </w:rPr>
        <w:t xml:space="preserve">При переезде участники Государственной программы могут столкнуться с проблемой отсутствия в отдельных муниципальных образованиях автономного округа благоустроенного жилья либо высокой арендной платы за съемное жилье.</w:t>
      </w:r>
    </w:p>
    <w:p>
      <w:pPr>
        <w:pStyle w:val="0"/>
        <w:spacing w:before="200" w:line-rule="auto"/>
        <w:ind w:firstLine="540"/>
        <w:jc w:val="both"/>
      </w:pPr>
      <w:r>
        <w:rPr>
          <w:sz w:val="20"/>
        </w:rPr>
        <w:t xml:space="preserve">Временное жилищное обустройство на этапе приема и адаптации переселенцев возможно путем самостоятельного поиска найма жилья участником Государственной программы, которому компенсируются фактические расходы на семью до приобретения им собственного жилого помещения с момента его прибытия в муниципальное образование автономного округа, подтвержденное проездными документами, либо получения свидетельства участника Государственной программы (для соотечественников, прибывших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w:t>
      </w:r>
    </w:p>
    <w:p>
      <w:pPr>
        <w:pStyle w:val="0"/>
        <w:spacing w:before="200" w:line-rule="auto"/>
        <w:ind w:firstLine="540"/>
        <w:jc w:val="both"/>
      </w:pPr>
      <w:r>
        <w:rPr>
          <w:sz w:val="20"/>
        </w:rPr>
        <w:t xml:space="preserve">не более 10,0 тыс. рублей на период до 6 месяцев;</w:t>
      </w:r>
    </w:p>
    <w:p>
      <w:pPr>
        <w:pStyle w:val="0"/>
        <w:spacing w:before="200" w:line-rule="auto"/>
        <w:ind w:firstLine="540"/>
        <w:jc w:val="both"/>
      </w:pPr>
      <w:r>
        <w:rPr>
          <w:sz w:val="20"/>
        </w:rPr>
        <w:t xml:space="preserve">не более 20,0 тыс. рублей на период до 12 месяцев высококвалифицированному специалисту.</w:t>
      </w:r>
    </w:p>
    <w:p>
      <w:pPr>
        <w:pStyle w:val="0"/>
        <w:spacing w:before="200" w:line-rule="auto"/>
        <w:ind w:firstLine="540"/>
        <w:jc w:val="both"/>
      </w:pPr>
      <w:r>
        <w:rPr>
          <w:sz w:val="20"/>
        </w:rPr>
        <w:t xml:space="preserve">Постановка на учет граждан в качестве нуждающихся в жилых помещениях в автономном округе осуществляется в соответствии с нормами Жилищного </w:t>
      </w:r>
      <w:hyperlink w:history="0" r:id="rId83" w:tooltip="&quot;Жилищный кодекс Российской Федерации&quot; от 29.12.2004 N 188-ФЗ (ред. от 14.11.2023) {КонсультантПлюс}">
        <w:r>
          <w:rPr>
            <w:sz w:val="20"/>
            <w:color w:val="0000ff"/>
          </w:rPr>
          <w:t xml:space="preserve">кодекса</w:t>
        </w:r>
      </w:hyperlink>
      <w:r>
        <w:rPr>
          <w:sz w:val="20"/>
        </w:rPr>
        <w:t xml:space="preserve"> Российской Федерации и </w:t>
      </w:r>
      <w:hyperlink w:history="0" r:id="rId84" w:tooltip="Закон ХМАО - Югры от 06.07.2005 N 57-оз (ред. от 28.09.2023) &quot;О регулировании отдельных жилищных отношений в Ханты-Мансийском автономном округе - Югре&quot; (принят Думой Ханты-Мансийского автономного округа - Югры 24.06.2005) {КонсультантПлюс}">
        <w:r>
          <w:rPr>
            <w:sz w:val="20"/>
            <w:color w:val="0000ff"/>
          </w:rPr>
          <w:t xml:space="preserve">Закона</w:t>
        </w:r>
      </w:hyperlink>
      <w:r>
        <w:rPr>
          <w:sz w:val="20"/>
        </w:rPr>
        <w:t xml:space="preserve"> автономного округа от 6 июля 2005 года N 57-оз "О регулировании отдельных жилищных отношений в Ханты-Мансийском автономном округе - Югре".</w:t>
      </w:r>
    </w:p>
    <w:p>
      <w:pPr>
        <w:pStyle w:val="0"/>
        <w:spacing w:before="200" w:line-rule="auto"/>
        <w:ind w:firstLine="540"/>
        <w:jc w:val="both"/>
      </w:pPr>
      <w:r>
        <w:rPr>
          <w:sz w:val="20"/>
        </w:rPr>
        <w:t xml:space="preserve">Предоставление земельных участков для индивидуального жилищного строительства участникам Государственной программы осуществляется в порядке, установленном Земельным </w:t>
      </w:r>
      <w:hyperlink w:history="0" r:id="rId8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2018 году медицинская помощь населению автономного округа предоставлялась в 98 медицинских организациях.</w:t>
      </w:r>
    </w:p>
    <w:p>
      <w:pPr>
        <w:pStyle w:val="0"/>
        <w:spacing w:before="200" w:line-rule="auto"/>
        <w:ind w:firstLine="540"/>
        <w:jc w:val="both"/>
      </w:pPr>
      <w:r>
        <w:rPr>
          <w:sz w:val="20"/>
        </w:rPr>
        <w:t xml:space="preserve">Участники Государственной программы и члены их семей имеют право на получение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Для получения медицинских услуг им следует обращаться в организации здравоохранения по месту размещения.</w:t>
      </w:r>
    </w:p>
    <w:p>
      <w:pPr>
        <w:pStyle w:val="0"/>
        <w:spacing w:before="200" w:line-rule="auto"/>
        <w:ind w:firstLine="540"/>
        <w:jc w:val="both"/>
      </w:pPr>
      <w:r>
        <w:rPr>
          <w:sz w:val="20"/>
        </w:rPr>
        <w:t xml:space="preserve">Документом, на основании которого осуществляется оказание услуг, является полис обязательного медицинского страхования, выданный после оформления разрешения на временное проживание либо после оформления гражданства Российской Федерации.</w:t>
      </w:r>
    </w:p>
    <w:p>
      <w:pPr>
        <w:pStyle w:val="0"/>
        <w:spacing w:before="200" w:line-rule="auto"/>
        <w:ind w:firstLine="540"/>
        <w:jc w:val="both"/>
      </w:pPr>
      <w:r>
        <w:rPr>
          <w:sz w:val="20"/>
        </w:rPr>
        <w:t xml:space="preserve">При получении участниками Государственной программы и членами их семей в соответствии с законодательством Российской Федерации полисов обязательного медицинского страхования медицинская помощь оказывается в рамках базовой программы обязательного медицинского страхования, утверждаемой ежегодно Правительством Российской Федерации.</w:t>
      </w:r>
    </w:p>
    <w:p>
      <w:pPr>
        <w:pStyle w:val="0"/>
        <w:spacing w:before="200" w:line-rule="auto"/>
        <w:ind w:firstLine="540"/>
        <w:jc w:val="both"/>
      </w:pPr>
      <w:r>
        <w:rPr>
          <w:sz w:val="20"/>
        </w:rPr>
        <w:t xml:space="preserve">До получения разрешения на временное проживание или до оформления гражданства Российской Федерации участники Государственной программы и члены их семей имеют право на получение бесплатной медицинской помощи в соответствии с законодательством Российской Федерации в пределах Территориальной программы государственных гарантий бесплатного оказания гражданам медицинской помощи в автономном округе.</w:t>
      </w:r>
    </w:p>
    <w:p>
      <w:pPr>
        <w:pStyle w:val="0"/>
        <w:spacing w:before="200" w:line-rule="auto"/>
        <w:ind w:firstLine="540"/>
        <w:jc w:val="both"/>
      </w:pPr>
      <w:r>
        <w:rPr>
          <w:sz w:val="20"/>
        </w:rPr>
        <w:t xml:space="preserve">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Медицинское освидетельствование не является медицинской помощью, поэтому оно не включено в Территориальную программу государственных гарантий бесплатного оказания гражданам медицинской помощи в автономном округе.</w:t>
      </w:r>
    </w:p>
    <w:p>
      <w:pPr>
        <w:pStyle w:val="0"/>
        <w:spacing w:before="200" w:line-rule="auto"/>
        <w:ind w:firstLine="540"/>
        <w:jc w:val="both"/>
      </w:pPr>
      <w:r>
        <w:rPr>
          <w:sz w:val="20"/>
        </w:rPr>
        <w:t xml:space="preserve">Всем участникам Государственной программы, нуждающимся в трудоустройстве, оказываются государственные услуги в пределах законодательства Российской Федерации о занятости населения. До получения гражданства Российской Федерации участники Государственной программы имеют право:</w:t>
      </w:r>
    </w:p>
    <w:p>
      <w:pPr>
        <w:pStyle w:val="0"/>
        <w:spacing w:before="200" w:line-rule="auto"/>
        <w:ind w:firstLine="540"/>
        <w:jc w:val="both"/>
      </w:pPr>
      <w:r>
        <w:rPr>
          <w:sz w:val="20"/>
        </w:rPr>
        <w:t xml:space="preserve">временно трудоустроиться на оплачиваемые общественные работы;</w:t>
      </w:r>
    </w:p>
    <w:p>
      <w:pPr>
        <w:pStyle w:val="0"/>
        <w:spacing w:before="200" w:line-rule="auto"/>
        <w:ind w:firstLine="540"/>
        <w:jc w:val="both"/>
      </w:pPr>
      <w:r>
        <w:rPr>
          <w:sz w:val="20"/>
        </w:rPr>
        <w:t xml:space="preserve">принять участие в ярмарках вакансий;</w:t>
      </w:r>
    </w:p>
    <w:p>
      <w:pPr>
        <w:pStyle w:val="0"/>
        <w:spacing w:before="200" w:line-rule="auto"/>
        <w:ind w:firstLine="540"/>
        <w:jc w:val="both"/>
      </w:pPr>
      <w:r>
        <w:rPr>
          <w:sz w:val="20"/>
        </w:rPr>
        <w:t xml:space="preserve">получить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После получения гражданства Российской Федерации перечень государственных услуг в области содействия занятости населения, которыми может воспользоваться участник Государственной программы, расширяется.</w:t>
      </w:r>
    </w:p>
    <w:p>
      <w:pPr>
        <w:pStyle w:val="0"/>
        <w:spacing w:before="200" w:line-rule="auto"/>
        <w:ind w:firstLine="540"/>
        <w:jc w:val="both"/>
      </w:pPr>
      <w:r>
        <w:rPr>
          <w:sz w:val="20"/>
        </w:rPr>
        <w:t xml:space="preserve">В целях формирования толерантного отношения к соотечественникам предполагается проведение разъяснительной работы с населением региона с помощью средств массовой информации.</w:t>
      </w:r>
    </w:p>
    <w:p>
      <w:pPr>
        <w:pStyle w:val="0"/>
        <w:spacing w:before="200" w:line-rule="auto"/>
        <w:ind w:firstLine="540"/>
        <w:jc w:val="both"/>
      </w:pPr>
      <w:r>
        <w:rPr>
          <w:sz w:val="20"/>
        </w:rPr>
        <w:t xml:space="preserve">Существующая социальная инфраструктура автономного округа, дополнительные гарантии и меры социальной поддержки соотечественников способны обеспечить им достойные условия проживания.</w:t>
      </w:r>
    </w:p>
    <w:p>
      <w:pPr>
        <w:pStyle w:val="0"/>
        <w:spacing w:before="200" w:line-rule="auto"/>
        <w:ind w:firstLine="540"/>
        <w:jc w:val="both"/>
      </w:pPr>
      <w:r>
        <w:rPr>
          <w:sz w:val="20"/>
        </w:rPr>
        <w:t xml:space="preserve">Государственная программа направлена на создание условий, способствующих добровольному переселению в автономный округ соотечественников из числа квалифицированных специалистов, проживающих за рубежом, содействие обеспечению потребности экономики автономного округа в квалифицированных кадрах по востребованным на рынке труда профессиям (специальностям) и не ограничивает права на трудоустройство местного населения.</w:t>
      </w:r>
    </w:p>
    <w:p>
      <w:pPr>
        <w:pStyle w:val="0"/>
        <w:spacing w:before="200" w:line-rule="auto"/>
        <w:ind w:firstLine="540"/>
        <w:jc w:val="both"/>
      </w:pPr>
      <w:r>
        <w:rPr>
          <w:sz w:val="20"/>
        </w:rPr>
        <w:t xml:space="preserve">Реализация мероприятий по содействию трудоустройству участников Государственной программы позволит заполнить длительно существующие в автономном округе вакансии по востребованным на рынке труда профессиям (специальностям) и содействовать обеспечению потребности региона квалифицированными кадрами.</w:t>
      </w:r>
    </w:p>
    <w:p>
      <w:pPr>
        <w:pStyle w:val="0"/>
        <w:spacing w:before="200" w:line-rule="auto"/>
        <w:ind w:firstLine="540"/>
        <w:jc w:val="both"/>
      </w:pPr>
      <w:r>
        <w:rPr>
          <w:sz w:val="20"/>
        </w:rPr>
        <w:t xml:space="preserve">За период 2022 - 2025 годов планируется переселить не менее 1 164 соотечественника, обеспечив их возможностью обустройства и трудоустройства, а также адаптации и интеграции на территории автономного округа.</w:t>
      </w:r>
    </w:p>
    <w:p>
      <w:pPr>
        <w:pStyle w:val="0"/>
        <w:spacing w:before="200" w:line-rule="auto"/>
        <w:ind w:firstLine="540"/>
        <w:jc w:val="both"/>
      </w:pPr>
      <w:r>
        <w:rPr>
          <w:sz w:val="20"/>
        </w:rPr>
        <w:t xml:space="preserve">При реализации Подпрограммы по объективным и субъективным причинам могут возникнуть риски.</w:t>
      </w:r>
    </w:p>
    <w:p>
      <w:pPr>
        <w:pStyle w:val="0"/>
        <w:spacing w:before="200" w:line-rule="auto"/>
        <w:ind w:firstLine="540"/>
        <w:jc w:val="both"/>
      </w:pPr>
      <w:r>
        <w:rPr>
          <w:sz w:val="20"/>
        </w:rPr>
        <w:t xml:space="preserve">1. Риски, связанные с трудоустройством и занятостью участников Государственной программы и членов их семей:</w:t>
      </w:r>
    </w:p>
    <w:p>
      <w:pPr>
        <w:pStyle w:val="0"/>
        <w:spacing w:before="200" w:line-rule="auto"/>
        <w:ind w:firstLine="540"/>
        <w:jc w:val="both"/>
      </w:pPr>
      <w:r>
        <w:rPr>
          <w:sz w:val="20"/>
        </w:rPr>
        <w:t xml:space="preserve">отказ работодателя от трудоустройства участника Государственной программы после его прибытия в автономный округ;</w:t>
      </w:r>
    </w:p>
    <w:p>
      <w:pPr>
        <w:pStyle w:val="0"/>
        <w:spacing w:before="200" w:line-rule="auto"/>
        <w:ind w:firstLine="540"/>
        <w:jc w:val="both"/>
      </w:pPr>
      <w:r>
        <w:rPr>
          <w:sz w:val="20"/>
        </w:rPr>
        <w:t xml:space="preserve">несоответствие (неполное соответствие) специальности и квалификации участника Государственной программы требованиям предоставляемого рабочего места;</w:t>
      </w:r>
    </w:p>
    <w:p>
      <w:pPr>
        <w:pStyle w:val="0"/>
        <w:spacing w:before="200" w:line-rule="auto"/>
        <w:ind w:firstLine="540"/>
        <w:jc w:val="both"/>
      </w:pPr>
      <w:r>
        <w:rPr>
          <w:sz w:val="20"/>
        </w:rPr>
        <w:t xml:space="preserve">отнесение участников Государственной программы и трудоспособных членов их семей в категорию безработных;</w:t>
      </w:r>
    </w:p>
    <w:p>
      <w:pPr>
        <w:pStyle w:val="0"/>
        <w:spacing w:before="200" w:line-rule="auto"/>
        <w:ind w:firstLine="540"/>
        <w:jc w:val="both"/>
      </w:pPr>
      <w:r>
        <w:rPr>
          <w:sz w:val="20"/>
        </w:rPr>
        <w:t xml:space="preserve">нежелание участников Государственной программы трудоустраиваться на предварительно подобранные рабочие места.</w:t>
      </w:r>
    </w:p>
    <w:p>
      <w:pPr>
        <w:pStyle w:val="0"/>
        <w:spacing w:before="200" w:line-rule="auto"/>
        <w:ind w:firstLine="540"/>
        <w:jc w:val="both"/>
      </w:pPr>
      <w:r>
        <w:rPr>
          <w:sz w:val="20"/>
        </w:rPr>
        <w:t xml:space="preserve">2. Риски, связанные с жилищным обустройством участников Государственной программы и членов их семей:</w:t>
      </w:r>
    </w:p>
    <w:p>
      <w:pPr>
        <w:pStyle w:val="0"/>
        <w:spacing w:before="200" w:line-rule="auto"/>
        <w:ind w:firstLine="540"/>
        <w:jc w:val="both"/>
      </w:pPr>
      <w:r>
        <w:rPr>
          <w:sz w:val="20"/>
        </w:rPr>
        <w:t xml:space="preserve">необеспеченность жильем;</w:t>
      </w:r>
    </w:p>
    <w:p>
      <w:pPr>
        <w:pStyle w:val="0"/>
        <w:spacing w:before="200" w:line-rule="auto"/>
        <w:ind w:firstLine="540"/>
        <w:jc w:val="both"/>
      </w:pPr>
      <w:r>
        <w:rPr>
          <w:sz w:val="20"/>
        </w:rPr>
        <w:t xml:space="preserve">сложности с компенсацией расходов за наем жилого помещения (в том числе по причине увеличения числа участников Государственной программы, прибывающих из стран со сложной социально-экономической ситуацией);</w:t>
      </w:r>
    </w:p>
    <w:p>
      <w:pPr>
        <w:pStyle w:val="0"/>
        <w:spacing w:before="200" w:line-rule="auto"/>
        <w:ind w:firstLine="540"/>
        <w:jc w:val="both"/>
      </w:pPr>
      <w:r>
        <w:rPr>
          <w:sz w:val="20"/>
        </w:rPr>
        <w:t xml:space="preserve">невозможность решения вопроса по постоянному жилищному обустройству в связи с отсутствием собственных средств у участника Государственной программы и членов его семьи для приобретения или строительства жилья.</w:t>
      </w:r>
    </w:p>
    <w:p>
      <w:pPr>
        <w:pStyle w:val="0"/>
        <w:spacing w:before="200" w:line-rule="auto"/>
        <w:ind w:firstLine="540"/>
        <w:jc w:val="both"/>
      </w:pPr>
      <w:r>
        <w:rPr>
          <w:sz w:val="20"/>
        </w:rPr>
        <w:t xml:space="preserve">3. Риски, связанные с интеграцией участников Государственной программы и членов их семей в социальную структуру территории вселения:</w:t>
      </w:r>
    </w:p>
    <w:p>
      <w:pPr>
        <w:pStyle w:val="0"/>
        <w:spacing w:before="200" w:line-rule="auto"/>
        <w:ind w:firstLine="540"/>
        <w:jc w:val="both"/>
      </w:pPr>
      <w:r>
        <w:rPr>
          <w:sz w:val="20"/>
        </w:rPr>
        <w:t xml:space="preserve">возникновение конфликтных ситуаций, негативного отношения к участникам Государственной программы и членам их семей со стороны местного населения;</w:t>
      </w:r>
    </w:p>
    <w:p>
      <w:pPr>
        <w:pStyle w:val="0"/>
        <w:spacing w:before="200" w:line-rule="auto"/>
        <w:ind w:firstLine="540"/>
        <w:jc w:val="both"/>
      </w:pPr>
      <w:r>
        <w:rPr>
          <w:sz w:val="20"/>
        </w:rPr>
        <w:t xml:space="preserve">рост межнациональной напряженности, конфронтация между участниками Государственной программы, членами их семей и местным населением;</w:t>
      </w:r>
    </w:p>
    <w:p>
      <w:pPr>
        <w:pStyle w:val="0"/>
        <w:spacing w:before="200" w:line-rule="auto"/>
        <w:ind w:firstLine="540"/>
        <w:jc w:val="both"/>
      </w:pPr>
      <w:r>
        <w:rPr>
          <w:sz w:val="20"/>
        </w:rPr>
        <w:t xml:space="preserve">социально-психологическое обособление участников Государственной программы и членов их семей, создание этносоциальных групп.</w:t>
      </w:r>
    </w:p>
    <w:p>
      <w:pPr>
        <w:pStyle w:val="0"/>
        <w:spacing w:before="200" w:line-rule="auto"/>
        <w:ind w:firstLine="540"/>
        <w:jc w:val="both"/>
      </w:pPr>
      <w:r>
        <w:rPr>
          <w:sz w:val="20"/>
        </w:rPr>
        <w:t xml:space="preserve">Оценка готовности автономного округа к приему соотечественников представлена в </w:t>
      </w:r>
      <w:hyperlink w:history="0" w:anchor="P1071" w:tooltip="Оценка готовности Ханты-Мансийского автономного">
        <w:r>
          <w:rPr>
            <w:sz w:val="20"/>
            <w:color w:val="0000ff"/>
          </w:rPr>
          <w:t xml:space="preserve">таблице 5</w:t>
        </w:r>
      </w:hyperlink>
      <w:r>
        <w:rPr>
          <w:sz w:val="20"/>
        </w:rPr>
        <w:t xml:space="preserve">.</w:t>
      </w:r>
    </w:p>
    <w:p>
      <w:pPr>
        <w:pStyle w:val="0"/>
        <w:jc w:val="both"/>
      </w:pPr>
      <w:r>
        <w:rPr>
          <w:sz w:val="20"/>
        </w:rPr>
      </w:r>
    </w:p>
    <w:p>
      <w:pPr>
        <w:pStyle w:val="2"/>
        <w:outlineLvl w:val="1"/>
        <w:jc w:val="center"/>
      </w:pPr>
      <w:r>
        <w:rPr>
          <w:sz w:val="20"/>
        </w:rPr>
        <w:t xml:space="preserve">Раздел II. ЦЕЛИ, ЗАДАЧИ, СРОКИ (ЭТАПЫ) И ПОКАЗАТЕЛИ</w:t>
      </w:r>
    </w:p>
    <w:p>
      <w:pPr>
        <w:pStyle w:val="2"/>
        <w:jc w:val="center"/>
      </w:pPr>
      <w:r>
        <w:rPr>
          <w:sz w:val="20"/>
        </w:rPr>
        <w:t xml:space="preserve">(ИНДИКАТОРЫ) ДОСТИЖЕНИЯ ЦЕЛЕЙ И РЕШЕНИЯ ЗАДАЧ ПОДПРОГРАММЫ</w:t>
      </w:r>
    </w:p>
    <w:p>
      <w:pPr>
        <w:pStyle w:val="0"/>
        <w:jc w:val="both"/>
      </w:pPr>
      <w:r>
        <w:rPr>
          <w:sz w:val="20"/>
        </w:rPr>
      </w:r>
    </w:p>
    <w:p>
      <w:pPr>
        <w:pStyle w:val="0"/>
        <w:ind w:firstLine="540"/>
        <w:jc w:val="both"/>
      </w:pPr>
      <w:r>
        <w:rPr>
          <w:sz w:val="20"/>
        </w:rPr>
        <w:t xml:space="preserve">Цели и задачи Подпрограммы сформулированы на основании целей и задач Государственной программы с учетом приоритетов развития автономного округа на долгосрочную перспективу.</w:t>
      </w:r>
    </w:p>
    <w:p>
      <w:pPr>
        <w:pStyle w:val="0"/>
        <w:spacing w:before="200" w:line-rule="auto"/>
        <w:ind w:firstLine="540"/>
        <w:jc w:val="both"/>
      </w:pPr>
      <w:r>
        <w:rPr>
          <w:sz w:val="20"/>
        </w:rPr>
        <w:t xml:space="preserve">Целями Подпрограммы являются:</w:t>
      </w:r>
    </w:p>
    <w:p>
      <w:pPr>
        <w:pStyle w:val="0"/>
        <w:spacing w:before="200" w:line-rule="auto"/>
        <w:ind w:firstLine="540"/>
        <w:jc w:val="both"/>
      </w:pPr>
      <w:r>
        <w:rPr>
          <w:sz w:val="20"/>
        </w:rPr>
        <w:t xml:space="preserve">1. Обеспечение реализации Государственной программы в Ханты-Мансийском автономном округе - Югре;</w:t>
      </w:r>
    </w:p>
    <w:p>
      <w:pPr>
        <w:pStyle w:val="0"/>
        <w:spacing w:before="200" w:line-rule="auto"/>
        <w:ind w:firstLine="540"/>
        <w:jc w:val="both"/>
      </w:pPr>
      <w:r>
        <w:rPr>
          <w:sz w:val="20"/>
        </w:rPr>
        <w:t xml:space="preserve">2. Обеспечение социально-экономического развития Ханты-Мансийского автономного округа - Югры путем содействия добровольному переселению квалифицированных специалистов из числа соотечественников, проживающих за рубежом.</w:t>
      </w:r>
    </w:p>
    <w:p>
      <w:pPr>
        <w:pStyle w:val="0"/>
        <w:spacing w:before="200" w:line-rule="auto"/>
        <w:ind w:firstLine="540"/>
        <w:jc w:val="both"/>
      </w:pPr>
      <w:r>
        <w:rPr>
          <w:sz w:val="20"/>
        </w:rPr>
        <w:t xml:space="preserve">Достижение целей Подпрограммы предполагает решение следующих задач:</w:t>
      </w:r>
    </w:p>
    <w:p>
      <w:pPr>
        <w:pStyle w:val="0"/>
        <w:spacing w:before="200" w:line-rule="auto"/>
        <w:ind w:firstLine="540"/>
        <w:jc w:val="both"/>
      </w:pPr>
      <w:r>
        <w:rPr>
          <w:sz w:val="20"/>
        </w:rPr>
        <w:t xml:space="preserve">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w:t>
      </w:r>
    </w:p>
    <w:p>
      <w:pPr>
        <w:pStyle w:val="0"/>
        <w:spacing w:before="200" w:line-rule="auto"/>
        <w:ind w:firstLine="540"/>
        <w:jc w:val="both"/>
      </w:pPr>
      <w:r>
        <w:rPr>
          <w:sz w:val="20"/>
        </w:rPr>
        <w:t xml:space="preserve">2. Создание условий для адаптации и интеграции участников Государственной программы и членов их семей в принимающее сообщество.</w:t>
      </w:r>
    </w:p>
    <w:p>
      <w:pPr>
        <w:pStyle w:val="0"/>
        <w:spacing w:before="200" w:line-rule="auto"/>
        <w:ind w:firstLine="540"/>
        <w:jc w:val="both"/>
      </w:pPr>
      <w:r>
        <w:rPr>
          <w:sz w:val="20"/>
        </w:rPr>
        <w:t xml:space="preserve">3. Содействие обеспечению потребности экономики автономного округа в квалифицированных кадрах.</w:t>
      </w:r>
    </w:p>
    <w:p>
      <w:pPr>
        <w:pStyle w:val="0"/>
        <w:spacing w:before="200" w:line-rule="auto"/>
        <w:ind w:firstLine="540"/>
        <w:jc w:val="both"/>
      </w:pPr>
      <w:r>
        <w:rPr>
          <w:sz w:val="20"/>
        </w:rPr>
        <w:t xml:space="preserve">Целевые показатели (индикаторы) количественно характеризуют результат реализации Подпрограммы, решение задач и достижение целей - </w:t>
      </w:r>
      <w:hyperlink w:history="0" w:anchor="P454" w:tooltip="Целевые показатели (индикаторы) реализации Подпрограммы">
        <w:r>
          <w:rPr>
            <w:sz w:val="20"/>
            <w:color w:val="0000ff"/>
          </w:rPr>
          <w:t xml:space="preserve">Таблица 1</w:t>
        </w:r>
      </w:hyperlink>
      <w:r>
        <w:rPr>
          <w:sz w:val="20"/>
        </w:rPr>
        <w:t xml:space="preserve">.</w:t>
      </w:r>
    </w:p>
    <w:p>
      <w:pPr>
        <w:pStyle w:val="0"/>
        <w:spacing w:before="200" w:line-rule="auto"/>
        <w:ind w:firstLine="540"/>
        <w:jc w:val="both"/>
      </w:pPr>
      <w:r>
        <w:rPr>
          <w:sz w:val="20"/>
        </w:rPr>
        <w:t xml:space="preserve">Значение основных целевых показателей (индикаторов) Подпрограммы определяется по следующей методике.</w:t>
      </w:r>
    </w:p>
    <w:p>
      <w:pPr>
        <w:pStyle w:val="0"/>
        <w:spacing w:before="200" w:line-rule="auto"/>
        <w:ind w:firstLine="540"/>
        <w:jc w:val="both"/>
      </w:pPr>
      <w:r>
        <w:rPr>
          <w:sz w:val="20"/>
        </w:rPr>
        <w:t xml:space="preserve">Показатель "численность участников Государственной программы, прибывших в автономный округ и зарегистрированных Управлением Министерства внутренних дел Российской Федерации по автономному округу (участников и членов их семей)" определяется на основании данных, представленных Управлением Министерства внутренних дел Российской Федерации по автономному округу.</w:t>
      </w:r>
    </w:p>
    <w:p>
      <w:pPr>
        <w:pStyle w:val="0"/>
        <w:spacing w:before="200" w:line-rule="auto"/>
        <w:ind w:firstLine="540"/>
        <w:jc w:val="both"/>
      </w:pPr>
      <w:r>
        <w:rPr>
          <w:sz w:val="20"/>
        </w:rPr>
        <w:t xml:space="preserve">Показатель "доля участников Государственной программы, занятых трудовой деятельностью, включая открывших собственное дело, от числа прибывших участников Государственной программы на конец отчетного года" рассчитывается по формуле:</w:t>
      </w:r>
    </w:p>
    <w:p>
      <w:pPr>
        <w:pStyle w:val="0"/>
        <w:jc w:val="both"/>
      </w:pPr>
      <w:r>
        <w:rPr>
          <w:sz w:val="20"/>
        </w:rPr>
      </w:r>
    </w:p>
    <w:p>
      <w:pPr>
        <w:pStyle w:val="0"/>
        <w:ind w:firstLine="540"/>
        <w:jc w:val="both"/>
      </w:pPr>
      <w:r>
        <w:rPr>
          <w:sz w:val="20"/>
        </w:rPr>
        <w:t xml:space="preserve">Д</w:t>
      </w:r>
      <w:r>
        <w:rPr>
          <w:sz w:val="20"/>
          <w:vertAlign w:val="subscript"/>
        </w:rPr>
        <w:t xml:space="preserve">угп</w:t>
      </w:r>
      <w:r>
        <w:rPr>
          <w:sz w:val="20"/>
        </w:rPr>
        <w:t xml:space="preserve"> = (Ч</w:t>
      </w:r>
      <w:r>
        <w:rPr>
          <w:sz w:val="20"/>
          <w:vertAlign w:val="subscript"/>
        </w:rPr>
        <w:t xml:space="preserve">тугп</w:t>
      </w:r>
      <w:r>
        <w:rPr>
          <w:sz w:val="20"/>
        </w:rPr>
        <w:t xml:space="preserve"> / Ч</w:t>
      </w:r>
      <w:r>
        <w:rPr>
          <w:sz w:val="20"/>
          <w:vertAlign w:val="subscript"/>
        </w:rPr>
        <w:t xml:space="preserve">пугп</w:t>
      </w:r>
      <w:r>
        <w:rPr>
          <w:sz w:val="20"/>
        </w:rPr>
        <w:t xml:space="preserve">) x 100%, где:</w:t>
      </w:r>
    </w:p>
    <w:p>
      <w:pPr>
        <w:pStyle w:val="0"/>
        <w:jc w:val="both"/>
      </w:pPr>
      <w:r>
        <w:rPr>
          <w:sz w:val="20"/>
        </w:rPr>
      </w:r>
    </w:p>
    <w:p>
      <w:pPr>
        <w:pStyle w:val="0"/>
        <w:ind w:firstLine="540"/>
        <w:jc w:val="both"/>
      </w:pPr>
      <w:r>
        <w:rPr>
          <w:sz w:val="20"/>
        </w:rPr>
        <w:t xml:space="preserve">Д</w:t>
      </w:r>
      <w:r>
        <w:rPr>
          <w:sz w:val="20"/>
          <w:vertAlign w:val="subscript"/>
        </w:rPr>
        <w:t xml:space="preserve">угп</w:t>
      </w:r>
      <w:r>
        <w:rPr>
          <w:sz w:val="20"/>
        </w:rPr>
        <w:t xml:space="preserve"> - доля участников Государственной программы, занятых трудовой деятельностью, на конец отчетного года;</w:t>
      </w:r>
    </w:p>
    <w:p>
      <w:pPr>
        <w:pStyle w:val="0"/>
        <w:spacing w:before="200" w:line-rule="auto"/>
        <w:ind w:firstLine="540"/>
        <w:jc w:val="both"/>
      </w:pPr>
      <w:r>
        <w:rPr>
          <w:sz w:val="20"/>
        </w:rPr>
        <w:t xml:space="preserve">Ч</w:t>
      </w:r>
      <w:r>
        <w:rPr>
          <w:sz w:val="20"/>
          <w:vertAlign w:val="subscript"/>
        </w:rPr>
        <w:t xml:space="preserve">тугп</w:t>
      </w:r>
      <w:r>
        <w:rPr>
          <w:sz w:val="20"/>
        </w:rPr>
        <w:t xml:space="preserve"> - численность участников Государственной программы, занятых трудовой деятельностью, включая открывших собственный бизнес, на конец отчетного года;</w:t>
      </w:r>
    </w:p>
    <w:p>
      <w:pPr>
        <w:pStyle w:val="0"/>
        <w:spacing w:before="200" w:line-rule="auto"/>
        <w:ind w:firstLine="540"/>
        <w:jc w:val="both"/>
      </w:pPr>
      <w:r>
        <w:rPr>
          <w:sz w:val="20"/>
        </w:rPr>
        <w:t xml:space="preserve">Ч</w:t>
      </w:r>
      <w:r>
        <w:rPr>
          <w:sz w:val="20"/>
          <w:vertAlign w:val="subscript"/>
        </w:rPr>
        <w:t xml:space="preserve">пугп</w:t>
      </w:r>
      <w:r>
        <w:rPr>
          <w:sz w:val="20"/>
        </w:rPr>
        <w:t xml:space="preserve"> - численность участников Государственной программы, прибывших в автономный округ, на конец отчетного года.</w:t>
      </w:r>
    </w:p>
    <w:p>
      <w:pPr>
        <w:pStyle w:val="0"/>
        <w:spacing w:before="200" w:line-rule="auto"/>
        <w:ind w:firstLine="540"/>
        <w:jc w:val="both"/>
      </w:pPr>
      <w:r>
        <w:rPr>
          <w:sz w:val="20"/>
        </w:rPr>
        <w:t xml:space="preserve">Показатель "доля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на конец отчетного года" рассчитывается по формуле:</w:t>
      </w:r>
    </w:p>
    <w:p>
      <w:pPr>
        <w:pStyle w:val="0"/>
        <w:jc w:val="both"/>
      </w:pPr>
      <w:r>
        <w:rPr>
          <w:sz w:val="20"/>
        </w:rPr>
      </w:r>
    </w:p>
    <w:p>
      <w:pPr>
        <w:pStyle w:val="0"/>
        <w:ind w:firstLine="540"/>
        <w:jc w:val="both"/>
      </w:pPr>
      <w:r>
        <w:rPr>
          <w:sz w:val="20"/>
        </w:rPr>
        <w:t xml:space="preserve">Д</w:t>
      </w:r>
      <w:r>
        <w:rPr>
          <w:sz w:val="20"/>
          <w:vertAlign w:val="subscript"/>
        </w:rPr>
        <w:t xml:space="preserve">тчс</w:t>
      </w:r>
      <w:r>
        <w:rPr>
          <w:sz w:val="20"/>
        </w:rPr>
        <w:t xml:space="preserve"> = (Ч</w:t>
      </w:r>
      <w:r>
        <w:rPr>
          <w:sz w:val="20"/>
          <w:vertAlign w:val="subscript"/>
        </w:rPr>
        <w:t xml:space="preserve">тчс</w:t>
      </w:r>
      <w:r>
        <w:rPr>
          <w:sz w:val="20"/>
        </w:rPr>
        <w:t xml:space="preserve"> / Ч</w:t>
      </w:r>
      <w:r>
        <w:rPr>
          <w:sz w:val="20"/>
          <w:vertAlign w:val="subscript"/>
        </w:rPr>
        <w:t xml:space="preserve">пчс</w:t>
      </w:r>
      <w:r>
        <w:rPr>
          <w:sz w:val="20"/>
        </w:rPr>
        <w:t xml:space="preserve">) x 100%, где:</w:t>
      </w:r>
    </w:p>
    <w:p>
      <w:pPr>
        <w:pStyle w:val="0"/>
        <w:jc w:val="both"/>
      </w:pPr>
      <w:r>
        <w:rPr>
          <w:sz w:val="20"/>
        </w:rPr>
      </w:r>
    </w:p>
    <w:p>
      <w:pPr>
        <w:pStyle w:val="0"/>
        <w:ind w:firstLine="540"/>
        <w:jc w:val="both"/>
      </w:pPr>
      <w:r>
        <w:rPr>
          <w:sz w:val="20"/>
        </w:rPr>
        <w:t xml:space="preserve">Д</w:t>
      </w:r>
      <w:r>
        <w:rPr>
          <w:sz w:val="20"/>
          <w:vertAlign w:val="subscript"/>
        </w:rPr>
        <w:t xml:space="preserve">тчс</w:t>
      </w:r>
      <w:r>
        <w:rPr>
          <w:sz w:val="20"/>
        </w:rPr>
        <w:t xml:space="preserve"> - доля трудоустроенных трудоспособных членов семей участников Государственной программы на конец отчетного года;</w:t>
      </w:r>
    </w:p>
    <w:p>
      <w:pPr>
        <w:pStyle w:val="0"/>
        <w:spacing w:before="200" w:line-rule="auto"/>
        <w:ind w:firstLine="540"/>
        <w:jc w:val="both"/>
      </w:pPr>
      <w:r>
        <w:rPr>
          <w:sz w:val="20"/>
        </w:rPr>
        <w:t xml:space="preserve">Ч</w:t>
      </w:r>
      <w:r>
        <w:rPr>
          <w:sz w:val="20"/>
          <w:vertAlign w:val="subscript"/>
        </w:rPr>
        <w:t xml:space="preserve">тчс</w:t>
      </w:r>
      <w:r>
        <w:rPr>
          <w:sz w:val="20"/>
        </w:rPr>
        <w:t xml:space="preserve"> - численность трудоустроенных трудоспособных членов семей участников Государственной программы на конец отчетного года;</w:t>
      </w:r>
    </w:p>
    <w:p>
      <w:pPr>
        <w:pStyle w:val="0"/>
        <w:spacing w:before="200" w:line-rule="auto"/>
        <w:ind w:firstLine="540"/>
        <w:jc w:val="both"/>
      </w:pPr>
      <w:r>
        <w:rPr>
          <w:sz w:val="20"/>
        </w:rPr>
        <w:t xml:space="preserve">Ч</w:t>
      </w:r>
      <w:r>
        <w:rPr>
          <w:sz w:val="20"/>
          <w:vertAlign w:val="subscript"/>
        </w:rPr>
        <w:t xml:space="preserve">пчс</w:t>
      </w:r>
      <w:r>
        <w:rPr>
          <w:sz w:val="20"/>
        </w:rPr>
        <w:t xml:space="preserve"> - численность трудоспособных членов семей участников Государственной программы, переселившихся в автономный округ, на конец отчетного года.</w:t>
      </w:r>
    </w:p>
    <w:p>
      <w:pPr>
        <w:pStyle w:val="0"/>
        <w:spacing w:before="200" w:line-rule="auto"/>
        <w:ind w:firstLine="540"/>
        <w:jc w:val="both"/>
      </w:pPr>
      <w:r>
        <w:rPr>
          <w:sz w:val="20"/>
        </w:rPr>
        <w:t xml:space="preserve">Реализация Подпрограммы позволит создать необходимые правовые, организационные, социально-экономические и информационные условия, способствующие добровольному переселению соотечественников, проживающих за рубежом, в автономный округ для постоянного проживания, заполнить существующие длительное время вакансии по рабочим профессиям, должностям служащих и удовлетворить спрос работодателей за счет привлечения на постоянное место жительства 1 728 соотечественников к концу 2025 года, привлечь на территорию автономного округа не менее 1 224 квалифицированных специалистов - участников Государственной программы и обеспечить их занятость.</w:t>
      </w:r>
    </w:p>
    <w:p>
      <w:pPr>
        <w:pStyle w:val="0"/>
        <w:jc w:val="both"/>
      </w:pPr>
      <w:r>
        <w:rPr>
          <w:sz w:val="20"/>
        </w:rPr>
      </w:r>
    </w:p>
    <w:p>
      <w:pPr>
        <w:pStyle w:val="2"/>
        <w:outlineLvl w:val="1"/>
        <w:jc w:val="center"/>
      </w:pPr>
      <w:r>
        <w:rPr>
          <w:sz w:val="20"/>
        </w:rPr>
        <w:t xml:space="preserve">Раздел III. ОСНОВНЫЕ МЕРОПРИЯТИЯ ПО РЕАЛИЗАЦИИ ПОДПРОГРАММЫ</w:t>
      </w:r>
    </w:p>
    <w:p>
      <w:pPr>
        <w:pStyle w:val="0"/>
        <w:jc w:val="both"/>
      </w:pPr>
      <w:r>
        <w:rPr>
          <w:sz w:val="20"/>
        </w:rPr>
      </w:r>
    </w:p>
    <w:p>
      <w:pPr>
        <w:pStyle w:val="0"/>
        <w:ind w:firstLine="540"/>
        <w:jc w:val="both"/>
      </w:pPr>
      <w:r>
        <w:rPr>
          <w:sz w:val="20"/>
        </w:rPr>
        <w:t xml:space="preserve">Для реализации целей, решения задач и достижения планируемых целевых показателей (индикаторов) Подпрограммы предусмотрено выполнение мероприятий, направленных на:</w:t>
      </w:r>
    </w:p>
    <w:p>
      <w:pPr>
        <w:pStyle w:val="0"/>
        <w:spacing w:before="200" w:line-rule="auto"/>
        <w:ind w:firstLine="540"/>
        <w:jc w:val="both"/>
      </w:pPr>
      <w:r>
        <w:rPr>
          <w:sz w:val="20"/>
        </w:rPr>
        <w:t xml:space="preserve">нормативно-правовое обеспечение реализации Подпрограммы;</w:t>
      </w:r>
    </w:p>
    <w:p>
      <w:pPr>
        <w:pStyle w:val="0"/>
        <w:spacing w:before="200" w:line-rule="auto"/>
        <w:ind w:firstLine="540"/>
        <w:jc w:val="both"/>
      </w:pPr>
      <w:r>
        <w:rPr>
          <w:sz w:val="20"/>
        </w:rPr>
        <w:t xml:space="preserve">информационное обеспечение реализации Подпрограммы;</w:t>
      </w:r>
    </w:p>
    <w:p>
      <w:pPr>
        <w:pStyle w:val="0"/>
        <w:spacing w:before="200" w:line-rule="auto"/>
        <w:ind w:firstLine="540"/>
        <w:jc w:val="both"/>
      </w:pPr>
      <w:r>
        <w:rPr>
          <w:sz w:val="20"/>
        </w:rPr>
        <w:t xml:space="preserve">содействие временному жилищному обустройству участников Государственной программы и членов их семей;</w:t>
      </w:r>
    </w:p>
    <w:p>
      <w:pPr>
        <w:pStyle w:val="0"/>
        <w:spacing w:before="200" w:line-rule="auto"/>
        <w:ind w:firstLine="540"/>
        <w:jc w:val="both"/>
      </w:pPr>
      <w:r>
        <w:rPr>
          <w:sz w:val="20"/>
        </w:rPr>
        <w:t xml:space="preserve">оказание бесплатной медицинской помощи участникам Государственной программы до получения разрешения на временное проживание или до оформления гражданства Российской Федерации;</w:t>
      </w:r>
    </w:p>
    <w:p>
      <w:pPr>
        <w:pStyle w:val="0"/>
        <w:spacing w:before="200" w:line-rule="auto"/>
        <w:ind w:firstLine="540"/>
        <w:jc w:val="both"/>
      </w:pPr>
      <w:r>
        <w:rPr>
          <w:sz w:val="20"/>
        </w:rPr>
        <w:t xml:space="preserve">содействие трудоустройству и занятости участников Государственной программы и членов их семей.</w:t>
      </w:r>
    </w:p>
    <w:p>
      <w:pPr>
        <w:pStyle w:val="0"/>
        <w:spacing w:before="200" w:line-rule="auto"/>
        <w:ind w:firstLine="540"/>
        <w:jc w:val="both"/>
      </w:pPr>
      <w:r>
        <w:rPr>
          <w:sz w:val="20"/>
        </w:rPr>
        <w:t xml:space="preserve">Для решения Задачи 1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 Подпрограммой предусмотрены следующие мероприятия.</w:t>
      </w:r>
    </w:p>
    <w:p>
      <w:pPr>
        <w:pStyle w:val="0"/>
        <w:spacing w:before="200" w:line-rule="auto"/>
        <w:ind w:firstLine="540"/>
        <w:jc w:val="both"/>
      </w:pPr>
      <w:r>
        <w:rPr>
          <w:sz w:val="20"/>
        </w:rPr>
        <w:t xml:space="preserve">1. Информационное обеспечение реализации Подпрограммы:</w:t>
      </w:r>
    </w:p>
    <w:p>
      <w:pPr>
        <w:pStyle w:val="0"/>
        <w:spacing w:before="200" w:line-rule="auto"/>
        <w:ind w:firstLine="540"/>
        <w:jc w:val="both"/>
      </w:pPr>
      <w:r>
        <w:rPr>
          <w:sz w:val="20"/>
        </w:rPr>
        <w:t xml:space="preserve">1.1. Организация и проведение информационной кампании (производство и размещение материалов в средствах массовой информации, на интернет-ресурсах, проведение встреч с некоммерческими организациями (далее - НКО), пресс-конференций), направленной на информирование участников Государственной программы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об условиях участия в Подпрограмме.</w:t>
      </w:r>
    </w:p>
    <w:p>
      <w:pPr>
        <w:pStyle w:val="0"/>
        <w:spacing w:before="200" w:line-rule="auto"/>
        <w:ind w:firstLine="540"/>
        <w:jc w:val="both"/>
      </w:pPr>
      <w:r>
        <w:rPr>
          <w:sz w:val="20"/>
        </w:rPr>
        <w:t xml:space="preserve">1.2. Организация презентаций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автономного округа.</w:t>
      </w:r>
    </w:p>
    <w:p>
      <w:pPr>
        <w:pStyle w:val="0"/>
        <w:spacing w:before="200" w:line-rule="auto"/>
        <w:ind w:firstLine="540"/>
        <w:jc w:val="both"/>
      </w:pPr>
      <w:r>
        <w:rPr>
          <w:sz w:val="20"/>
        </w:rPr>
        <w:t xml:space="preserve">1.3. Формирование и регулярное обновление материалов о Подпрограмме на информационном портале АИС "Соотечественники", в средствах массовой информации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адресная и контактная информация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 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услугах образовательных организаций высшего образования автономного округа.</w:t>
      </w:r>
    </w:p>
    <w:p>
      <w:pPr>
        <w:pStyle w:val="0"/>
        <w:spacing w:before="200" w:line-rule="auto"/>
        <w:ind w:firstLine="540"/>
        <w:jc w:val="both"/>
      </w:pPr>
      <w:r>
        <w:rPr>
          <w:sz w:val="20"/>
        </w:rPr>
        <w:t xml:space="preserve">Для решения Задачи 2 "Создание условий для адаптации и интеграции участников Государственной программы и членов их семей в принимающее сообщество" предусмотрены такие мероприятия.</w:t>
      </w:r>
    </w:p>
    <w:p>
      <w:pPr>
        <w:pStyle w:val="0"/>
        <w:spacing w:before="200" w:line-rule="auto"/>
        <w:ind w:firstLine="540"/>
        <w:jc w:val="both"/>
      </w:pPr>
      <w:r>
        <w:rPr>
          <w:sz w:val="20"/>
        </w:rPr>
        <w:t xml:space="preserve">2. Организация консультаций для участников Государственной программы и членов их семей по вопросам реализации Подпрограммы, жилищному обустройству, предоставлению услуг государственных и муниципальных дошкольных образовательных организаций, общего и профессионального образования, социального обслуживания, здравоохранения и услуги государственной службы занятости.</w:t>
      </w:r>
    </w:p>
    <w:p>
      <w:pPr>
        <w:pStyle w:val="0"/>
        <w:spacing w:before="200" w:line-rule="auto"/>
        <w:ind w:firstLine="540"/>
        <w:jc w:val="both"/>
      </w:pPr>
      <w:r>
        <w:rPr>
          <w:sz w:val="20"/>
        </w:rPr>
        <w:t xml:space="preserve">3. Содействие жилищному обустройству участников Государственной программы и членов их семей:</w:t>
      </w:r>
    </w:p>
    <w:p>
      <w:pPr>
        <w:pStyle w:val="0"/>
        <w:spacing w:before="200" w:line-rule="auto"/>
        <w:ind w:firstLine="540"/>
        <w:jc w:val="both"/>
      </w:pPr>
      <w:r>
        <w:rPr>
          <w:sz w:val="20"/>
        </w:rPr>
        <w:t xml:space="preserve">3.1. Предоставление компенсации расходов по найму жилья.</w:t>
      </w:r>
    </w:p>
    <w:p>
      <w:pPr>
        <w:pStyle w:val="0"/>
        <w:spacing w:before="200" w:line-rule="auto"/>
        <w:ind w:firstLine="540"/>
        <w:jc w:val="both"/>
      </w:pPr>
      <w:r>
        <w:rPr>
          <w:sz w:val="20"/>
        </w:rPr>
        <w:t xml:space="preserve">3.2. Информационно-разъяснительная работа по механизму приобретения жилья.</w:t>
      </w:r>
    </w:p>
    <w:p>
      <w:pPr>
        <w:pStyle w:val="0"/>
        <w:spacing w:before="200" w:line-rule="auto"/>
        <w:ind w:firstLine="540"/>
        <w:jc w:val="both"/>
      </w:pPr>
      <w:r>
        <w:rPr>
          <w:sz w:val="20"/>
        </w:rPr>
        <w:t xml:space="preserve">4. Оказание бесплатной медицинской помощи до и после получения разрешения на временное проживание или до оформления гражданства Российской Федерации.</w:t>
      </w:r>
    </w:p>
    <w:p>
      <w:pPr>
        <w:pStyle w:val="0"/>
        <w:spacing w:before="200" w:line-rule="auto"/>
        <w:ind w:firstLine="540"/>
        <w:jc w:val="both"/>
      </w:pPr>
      <w:r>
        <w:rPr>
          <w:sz w:val="20"/>
        </w:rPr>
        <w:t xml:space="preserve">Для решения Задачи 3 "Содействие обеспечению потребности экономики автономного округа в квалифицированных кадрах" предусмотрены следующие мероприятия.</w:t>
      </w:r>
    </w:p>
    <w:p>
      <w:pPr>
        <w:pStyle w:val="0"/>
        <w:spacing w:before="200" w:line-rule="auto"/>
        <w:ind w:firstLine="540"/>
        <w:jc w:val="both"/>
      </w:pPr>
      <w:r>
        <w:rPr>
          <w:sz w:val="20"/>
        </w:rPr>
        <w:t xml:space="preserve">5. Формирование банка вакансий для участников Государственной программы и размещение его на официальных веб-ресурсах органов государственной власти автономного округа.</w:t>
      </w:r>
    </w:p>
    <w:p>
      <w:pPr>
        <w:pStyle w:val="0"/>
        <w:spacing w:before="200" w:line-rule="auto"/>
        <w:ind w:firstLine="540"/>
        <w:jc w:val="both"/>
      </w:pPr>
      <w:r>
        <w:rPr>
          <w:sz w:val="20"/>
        </w:rPr>
        <w:t xml:space="preserve">6. Предоставление участникам Государственной программы и членам их семей государственных услуг в области содействия занятости населения в соответствии с законодательством Российской Федерации.</w:t>
      </w:r>
    </w:p>
    <w:p>
      <w:pPr>
        <w:pStyle w:val="0"/>
        <w:spacing w:before="200" w:line-rule="auto"/>
        <w:ind w:firstLine="540"/>
        <w:jc w:val="both"/>
      </w:pPr>
      <w:r>
        <w:rPr>
          <w:sz w:val="20"/>
        </w:rPr>
        <w:t xml:space="preserve">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 в соответствии с государственными программами автономного округа.</w:t>
      </w:r>
    </w:p>
    <w:p>
      <w:pPr>
        <w:pStyle w:val="0"/>
        <w:spacing w:before="200" w:line-rule="auto"/>
        <w:ind w:firstLine="540"/>
        <w:jc w:val="both"/>
      </w:pPr>
      <w:r>
        <w:rPr>
          <w:sz w:val="20"/>
        </w:rPr>
        <w:t xml:space="preserve">Участник Государственной программы и члены его семьи, совместно переселяющиеся на постоянное место жительства в Российскую Федерацию, имеют право на получение услуг образовательных организаций, учреждений социального обслуживания, здравоохранения и органов службы занятости населения:</w:t>
      </w:r>
    </w:p>
    <w:p>
      <w:pPr>
        <w:pStyle w:val="0"/>
        <w:spacing w:before="200" w:line-rule="auto"/>
        <w:ind w:firstLine="540"/>
        <w:jc w:val="both"/>
      </w:pPr>
      <w:r>
        <w:rPr>
          <w:sz w:val="20"/>
        </w:rPr>
        <w:t xml:space="preserve">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образования в общеобразовательных и профессиональных образовательных организациях;</w:t>
      </w:r>
    </w:p>
    <w:p>
      <w:pPr>
        <w:pStyle w:val="0"/>
        <w:spacing w:before="200" w:line-rule="auto"/>
        <w:ind w:firstLine="540"/>
        <w:jc w:val="both"/>
      </w:pPr>
      <w:r>
        <w:rPr>
          <w:sz w:val="20"/>
        </w:rPr>
        <w:t xml:space="preserve">в области здравоохранения - предоставление бесплатной медицинской помощи в соответствии с законодательством Российской Федерации в условиях Территориальной программы государственных гарантий бесплатного оказания гражданам медицинской помощи в автономном округе до получения разрешения на временное проживание или до оформления гражданства Российской Федерации.</w:t>
      </w:r>
    </w:p>
    <w:p>
      <w:pPr>
        <w:pStyle w:val="0"/>
        <w:spacing w:before="200" w:line-rule="auto"/>
        <w:ind w:firstLine="540"/>
        <w:jc w:val="both"/>
      </w:pPr>
      <w:r>
        <w:rPr>
          <w:sz w:val="20"/>
        </w:rPr>
        <w:t xml:space="preserve">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в области социального обслуживания - предоставление в порядке очередности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pPr>
        <w:pStyle w:val="0"/>
        <w:spacing w:before="200" w:line-rule="auto"/>
        <w:ind w:firstLine="540"/>
        <w:jc w:val="both"/>
      </w:pPr>
      <w:r>
        <w:rPr>
          <w:sz w:val="20"/>
        </w:rPr>
        <w:t xml:space="preserve">в области занятости - содействие в поиске подходящей работы и трудоустройстве, организация профессиональной ориентации граждан в целях выбора сферы деятельности (профессии), организация проведения оплачиваемых общественных работ, ярмарок вакансий и учебных рабочих мест, информирование о положении на рынке труда в автономном округе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бюджета автономного округа в условиях Подпрограммы осуществляется:</w:t>
      </w:r>
    </w:p>
    <w:p>
      <w:pPr>
        <w:pStyle w:val="0"/>
        <w:spacing w:before="200" w:line-rule="auto"/>
        <w:ind w:firstLine="540"/>
        <w:jc w:val="both"/>
      </w:pPr>
      <w:r>
        <w:rPr>
          <w:sz w:val="20"/>
        </w:rPr>
        <w:t xml:space="preserve">компенсация расходов участникам Государственной программы по найму жилья;</w:t>
      </w:r>
    </w:p>
    <w:p>
      <w:pPr>
        <w:pStyle w:val="0"/>
        <w:spacing w:before="200" w:line-rule="auto"/>
        <w:ind w:firstLine="540"/>
        <w:jc w:val="both"/>
      </w:pPr>
      <w:r>
        <w:rPr>
          <w:sz w:val="20"/>
        </w:rPr>
        <w:t xml:space="preserve">информационное сопровождение Подпрограммы.</w:t>
      </w:r>
    </w:p>
    <w:p>
      <w:pPr>
        <w:pStyle w:val="0"/>
        <w:spacing w:before="200" w:line-rule="auto"/>
        <w:ind w:firstLine="540"/>
        <w:jc w:val="both"/>
      </w:pPr>
      <w:r>
        <w:rPr>
          <w:sz w:val="20"/>
        </w:rPr>
        <w:t xml:space="preserve">Перечень основных мероприятий Подпрограммы, ожидаемые результаты и риски приведены в </w:t>
      </w:r>
      <w:hyperlink w:history="0" w:anchor="P598" w:tooltip="Перечень основных мероприятий Подпрограммы, ожидаемые">
        <w:r>
          <w:rPr>
            <w:sz w:val="20"/>
            <w:color w:val="0000ff"/>
          </w:rPr>
          <w:t xml:space="preserve">таблице 2</w:t>
        </w:r>
      </w:hyperlink>
      <w:r>
        <w:rPr>
          <w:sz w:val="20"/>
        </w:rPr>
        <w:t xml:space="preserve">.</w:t>
      </w:r>
    </w:p>
    <w:p>
      <w:pPr>
        <w:pStyle w:val="0"/>
        <w:jc w:val="both"/>
      </w:pPr>
      <w:r>
        <w:rPr>
          <w:sz w:val="20"/>
        </w:rPr>
      </w:r>
    </w:p>
    <w:p>
      <w:pPr>
        <w:pStyle w:val="2"/>
        <w:outlineLvl w:val="1"/>
        <w:jc w:val="center"/>
      </w:pPr>
      <w:r>
        <w:rPr>
          <w:sz w:val="20"/>
        </w:rPr>
        <w:t xml:space="preserve">Раздел IV. ОБЪЕМЫ ФИНАНСОВЫХ РЕСУРСОВ НА РЕАЛИЗАЦИЮ</w:t>
      </w:r>
    </w:p>
    <w:p>
      <w:pPr>
        <w:pStyle w:val="2"/>
        <w:jc w:val="center"/>
      </w:pPr>
      <w:r>
        <w:rPr>
          <w:sz w:val="20"/>
        </w:rPr>
        <w:t xml:space="preserve">ПОДПРОГРАММЫ</w:t>
      </w:r>
    </w:p>
    <w:p>
      <w:pPr>
        <w:pStyle w:val="0"/>
        <w:jc w:val="both"/>
      </w:pPr>
      <w:r>
        <w:rPr>
          <w:sz w:val="20"/>
        </w:rPr>
      </w:r>
    </w:p>
    <w:p>
      <w:pPr>
        <w:pStyle w:val="0"/>
        <w:ind w:firstLine="540"/>
        <w:jc w:val="both"/>
      </w:pPr>
      <w:r>
        <w:rPr>
          <w:sz w:val="20"/>
        </w:rPr>
        <w:t xml:space="preserve">Объем финансовых ресурсов на реализацию основных мероприятий Подпрограммы приведен в </w:t>
      </w:r>
      <w:hyperlink w:history="0" w:anchor="P701" w:tooltip="Объемы финансовых ресурсов на реализацию основных">
        <w:r>
          <w:rPr>
            <w:sz w:val="20"/>
            <w:color w:val="0000ff"/>
          </w:rPr>
          <w:t xml:space="preserve">таблице 3</w:t>
        </w:r>
      </w:hyperlink>
      <w:r>
        <w:rPr>
          <w:sz w:val="20"/>
        </w:rPr>
        <w:t xml:space="preserve">.</w:t>
      </w:r>
    </w:p>
    <w:p>
      <w:pPr>
        <w:pStyle w:val="0"/>
        <w:spacing w:before="200" w:line-rule="auto"/>
        <w:ind w:firstLine="540"/>
        <w:jc w:val="both"/>
      </w:pPr>
      <w:r>
        <w:rPr>
          <w:sz w:val="20"/>
        </w:rPr>
        <w:t xml:space="preserve">Главными распорядителями бюджетных средств по Подпрограмме являются:</w:t>
      </w:r>
    </w:p>
    <w:p>
      <w:pPr>
        <w:pStyle w:val="0"/>
        <w:spacing w:before="200" w:line-rule="auto"/>
        <w:ind w:firstLine="540"/>
        <w:jc w:val="both"/>
      </w:pPr>
      <w:r>
        <w:rPr>
          <w:sz w:val="20"/>
        </w:rPr>
        <w:t xml:space="preserve">Уполномоченный орган Югры;</w:t>
      </w:r>
    </w:p>
    <w:p>
      <w:pPr>
        <w:pStyle w:val="0"/>
        <w:spacing w:before="200" w:line-rule="auto"/>
        <w:ind w:firstLine="540"/>
        <w:jc w:val="both"/>
      </w:pPr>
      <w:r>
        <w:rPr>
          <w:sz w:val="20"/>
        </w:rPr>
        <w:t xml:space="preserve">Департамент общественных, внешних связей и молодежной политики автономного округа.</w:t>
      </w:r>
    </w:p>
    <w:p>
      <w:pPr>
        <w:pStyle w:val="0"/>
        <w:jc w:val="both"/>
      </w:pPr>
      <w:r>
        <w:rPr>
          <w:sz w:val="20"/>
        </w:rPr>
        <w:t xml:space="preserve">(в ред. </w:t>
      </w:r>
      <w:hyperlink w:history="0" r:id="rId8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Выделение средств бюджета автономного округа осуществляется в соответствии со сводной бюджетной росписью бюджета автономного округа, в пределах лимитов бюджетных обязательств и объемов финансирования, предусмотренных по Подпрограмме.</w:t>
      </w:r>
    </w:p>
    <w:p>
      <w:pPr>
        <w:pStyle w:val="0"/>
        <w:spacing w:before="200" w:line-rule="auto"/>
        <w:ind w:firstLine="540"/>
        <w:jc w:val="both"/>
      </w:pPr>
      <w:r>
        <w:rPr>
          <w:sz w:val="20"/>
        </w:rPr>
        <w:t xml:space="preserve">На реализацию мероприятий Подпрограммы возможно привлечение средств из федерального бюджета в виде субсидий окружному бюджету в рамках соглашений, заключаемых между Министерством внутренних дел Российской Федерации и Правительством автономного округа.</w:t>
      </w:r>
    </w:p>
    <w:p>
      <w:pPr>
        <w:pStyle w:val="0"/>
        <w:spacing w:before="200" w:line-rule="auto"/>
        <w:ind w:firstLine="540"/>
        <w:jc w:val="both"/>
      </w:pPr>
      <w:r>
        <w:rPr>
          <w:sz w:val="20"/>
        </w:rPr>
        <w:t xml:space="preserve">Целевое расходование бюджетных средств, предусмотренных на реализацию Подпрограммы, обеспечивается путем осуществления финансового контроля в пределах законодательства автономного округа.</w:t>
      </w:r>
    </w:p>
    <w:p>
      <w:pPr>
        <w:pStyle w:val="0"/>
        <w:spacing w:before="200" w:line-rule="auto"/>
        <w:ind w:firstLine="540"/>
        <w:jc w:val="both"/>
      </w:pPr>
      <w:r>
        <w:rPr>
          <w:sz w:val="20"/>
        </w:rPr>
        <w:t xml:space="preserve">Контроль за реализацией Подпрограммы осуществляет Губернатор автономного округа.</w:t>
      </w:r>
    </w:p>
    <w:p>
      <w:pPr>
        <w:pStyle w:val="0"/>
        <w:jc w:val="both"/>
      </w:pPr>
      <w:r>
        <w:rPr>
          <w:sz w:val="20"/>
        </w:rPr>
      </w:r>
    </w:p>
    <w:p>
      <w:pPr>
        <w:pStyle w:val="2"/>
        <w:outlineLvl w:val="1"/>
        <w:jc w:val="center"/>
      </w:pPr>
      <w:r>
        <w:rPr>
          <w:sz w:val="20"/>
        </w:rPr>
        <w:t xml:space="preserve">Раздел V. ОЦЕНКА ПЛАНИРУЕМОЙ ЭФФЕКТИВНОСТИ И РИСКИ</w:t>
      </w:r>
    </w:p>
    <w:p>
      <w:pPr>
        <w:pStyle w:val="2"/>
        <w:jc w:val="center"/>
      </w:pPr>
      <w:r>
        <w:rPr>
          <w:sz w:val="20"/>
        </w:rPr>
        <w:t xml:space="preserve">РЕАЛИЗАЦИИ ПОДПРОГРАММЫ</w:t>
      </w:r>
    </w:p>
    <w:p>
      <w:pPr>
        <w:pStyle w:val="0"/>
        <w:jc w:val="both"/>
      </w:pPr>
      <w:r>
        <w:rPr>
          <w:sz w:val="20"/>
        </w:rPr>
      </w:r>
    </w:p>
    <w:p>
      <w:pPr>
        <w:pStyle w:val="0"/>
        <w:ind w:firstLine="540"/>
        <w:jc w:val="both"/>
      </w:pPr>
      <w:r>
        <w:rPr>
          <w:sz w:val="20"/>
        </w:rPr>
        <w:t xml:space="preserve">Оценка эффективности реализации Подпрограммы основана на мониторинге ожидаемых результатов ее реализации путем сопоставления фактически достигнутых целевых показателей с показателями, установленными при утверждении Подпрограммы.</w:t>
      </w:r>
    </w:p>
    <w:p>
      <w:pPr>
        <w:pStyle w:val="0"/>
        <w:spacing w:before="200" w:line-rule="auto"/>
        <w:ind w:firstLine="540"/>
        <w:jc w:val="both"/>
      </w:pPr>
      <w:r>
        <w:rPr>
          <w:sz w:val="20"/>
        </w:rPr>
        <w:t xml:space="preserve">Соисполнители основных мероприятий ежемесячно представляют информацию Уполномоченному органу Югры с целью мониторинга реализации Подпрограммы, совершенствования управления Подпрограммой.</w:t>
      </w:r>
    </w:p>
    <w:p>
      <w:pPr>
        <w:pStyle w:val="0"/>
        <w:spacing w:before="200" w:line-rule="auto"/>
        <w:ind w:firstLine="540"/>
        <w:jc w:val="both"/>
      </w:pPr>
      <w:r>
        <w:rPr>
          <w:sz w:val="20"/>
        </w:rPr>
        <w:t xml:space="preserve">Мониторинг реализации основных мероприятий Подпрограммы осуществляется по целевым показателям (индикаторам), указанным в </w:t>
      </w:r>
      <w:hyperlink w:history="0" w:anchor="P454" w:tooltip="Целевые показатели (индикаторы) реализации Подпрограммы">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Результаты реализации Подпрограммы Уполномоченный орган Югры размещает на официальном сайте </w:t>
      </w:r>
      <w:r>
        <w:rPr>
          <w:sz w:val="20"/>
        </w:rPr>
        <w:t xml:space="preserve">http://www.deptrud.admhmao.ru</w:t>
      </w:r>
      <w:r>
        <w:rPr>
          <w:sz w:val="20"/>
        </w:rPr>
        <w:t xml:space="preserve">.</w:t>
      </w:r>
    </w:p>
    <w:p>
      <w:pPr>
        <w:pStyle w:val="0"/>
        <w:spacing w:before="200" w:line-rule="auto"/>
        <w:ind w:firstLine="540"/>
        <w:jc w:val="both"/>
      </w:pPr>
      <w:r>
        <w:rPr>
          <w:sz w:val="20"/>
        </w:rPr>
        <w:t xml:space="preserve">Эффективность реализации Подпрограммы по основным мероприятиям определяется на основе расчетов по следующей формуле:</w:t>
      </w:r>
    </w:p>
    <w:p>
      <w:pPr>
        <w:pStyle w:val="0"/>
        <w:jc w:val="both"/>
      </w:pPr>
      <w:r>
        <w:rPr>
          <w:sz w:val="20"/>
        </w:rPr>
      </w:r>
    </w:p>
    <w:p>
      <w:pPr>
        <w:pStyle w:val="0"/>
        <w:ind w:firstLine="540"/>
        <w:jc w:val="both"/>
      </w:pPr>
      <w:r>
        <w:rPr>
          <w:sz w:val="20"/>
        </w:rPr>
        <w:t xml:space="preserve">E</w:t>
      </w:r>
      <w:r>
        <w:rPr>
          <w:sz w:val="20"/>
          <w:vertAlign w:val="subscript"/>
        </w:rPr>
        <w:t xml:space="preserve">n</w:t>
      </w:r>
      <w:r>
        <w:rPr>
          <w:sz w:val="20"/>
        </w:rPr>
        <w:t xml:space="preserve"> = Т</w:t>
      </w:r>
      <w:r>
        <w:rPr>
          <w:sz w:val="20"/>
          <w:vertAlign w:val="subscript"/>
        </w:rPr>
        <w:t xml:space="preserve">fn</w:t>
      </w:r>
      <w:r>
        <w:rPr>
          <w:sz w:val="20"/>
        </w:rPr>
        <w:t xml:space="preserve"> / Т</w:t>
      </w:r>
      <w:r>
        <w:rPr>
          <w:sz w:val="20"/>
          <w:vertAlign w:val="subscript"/>
        </w:rPr>
        <w:t xml:space="preserve">pn</w:t>
      </w:r>
      <w:r>
        <w:rPr>
          <w:sz w:val="20"/>
        </w:rPr>
        <w:t xml:space="preserve"> x 100, где:</w:t>
      </w:r>
    </w:p>
    <w:p>
      <w:pPr>
        <w:pStyle w:val="0"/>
        <w:jc w:val="both"/>
      </w:pPr>
      <w:r>
        <w:rPr>
          <w:sz w:val="20"/>
        </w:rPr>
      </w:r>
    </w:p>
    <w:p>
      <w:pPr>
        <w:pStyle w:val="0"/>
        <w:ind w:firstLine="540"/>
        <w:jc w:val="both"/>
      </w:pPr>
      <w:r>
        <w:rPr>
          <w:sz w:val="20"/>
        </w:rPr>
        <w:t xml:space="preserve">E</w:t>
      </w:r>
      <w:r>
        <w:rPr>
          <w:sz w:val="20"/>
          <w:vertAlign w:val="subscript"/>
        </w:rPr>
        <w:t xml:space="preserve">n</w:t>
      </w:r>
      <w:r>
        <w:rPr>
          <w:sz w:val="20"/>
        </w:rPr>
        <w:t xml:space="preserve"> - эффективность хода реализации отдельного мероприятия Подпрограммы (процентов), характеризуемого n-м целевым показателем (индикатором);</w:t>
      </w:r>
    </w:p>
    <w:p>
      <w:pPr>
        <w:pStyle w:val="0"/>
        <w:spacing w:before="200" w:line-rule="auto"/>
        <w:ind w:firstLine="540"/>
        <w:jc w:val="both"/>
      </w:pPr>
      <w:r>
        <w:rPr>
          <w:sz w:val="20"/>
        </w:rPr>
        <w:t xml:space="preserve">Т</w:t>
      </w:r>
      <w:r>
        <w:rPr>
          <w:sz w:val="20"/>
          <w:vertAlign w:val="subscript"/>
        </w:rPr>
        <w:t xml:space="preserve">fn</w:t>
      </w:r>
      <w:r>
        <w:rPr>
          <w:sz w:val="20"/>
        </w:rPr>
        <w:t xml:space="preserve"> - фактическое значение n-го целевого показателя (индикатора), характеризующего реализацию Подпрограммы;</w:t>
      </w:r>
    </w:p>
    <w:p>
      <w:pPr>
        <w:pStyle w:val="0"/>
        <w:spacing w:before="200" w:line-rule="auto"/>
        <w:ind w:firstLine="540"/>
        <w:jc w:val="both"/>
      </w:pPr>
      <w:r>
        <w:rPr>
          <w:sz w:val="20"/>
        </w:rPr>
        <w:t xml:space="preserve">Т</w:t>
      </w:r>
      <w:r>
        <w:rPr>
          <w:sz w:val="20"/>
          <w:vertAlign w:val="subscript"/>
        </w:rPr>
        <w:t xml:space="preserve">pn</w:t>
      </w:r>
      <w:r>
        <w:rPr>
          <w:sz w:val="20"/>
        </w:rPr>
        <w:t xml:space="preserve"> - плановое значение n-го целевого показателя (индикатора);</w:t>
      </w:r>
    </w:p>
    <w:p>
      <w:pPr>
        <w:pStyle w:val="0"/>
        <w:spacing w:before="200" w:line-rule="auto"/>
        <w:ind w:firstLine="540"/>
        <w:jc w:val="both"/>
      </w:pPr>
      <w:r>
        <w:rPr>
          <w:sz w:val="20"/>
        </w:rPr>
        <w:t xml:space="preserve">n - номер целевого показателя (индикатора) Подпрограммы.</w:t>
      </w:r>
    </w:p>
    <w:p>
      <w:pPr>
        <w:pStyle w:val="0"/>
        <w:spacing w:before="200" w:line-rule="auto"/>
        <w:ind w:firstLine="540"/>
        <w:jc w:val="both"/>
      </w:pPr>
      <w:r>
        <w:rPr>
          <w:sz w:val="20"/>
        </w:rPr>
        <w:t xml:space="preserve">Интегральная оценка эффективности реализации Подпрограммы определяется на основе расчетов по следующей формуле:</w:t>
      </w:r>
    </w:p>
    <w:p>
      <w:pPr>
        <w:pStyle w:val="0"/>
        <w:jc w:val="both"/>
      </w:pPr>
      <w:r>
        <w:rPr>
          <w:sz w:val="20"/>
        </w:rPr>
      </w:r>
    </w:p>
    <w:p>
      <w:pPr>
        <w:pStyle w:val="0"/>
        <w:ind w:firstLine="540"/>
        <w:jc w:val="both"/>
      </w:pPr>
      <w:r>
        <w:rPr>
          <w:sz w:val="20"/>
        </w:rPr>
        <w:t xml:space="preserve">Е = N</w:t>
      </w:r>
      <w:r>
        <w:rPr>
          <w:sz w:val="20"/>
          <w:vertAlign w:val="subscript"/>
        </w:rPr>
        <w:t xml:space="preserve">1</w:t>
      </w:r>
      <w:r>
        <w:rPr>
          <w:sz w:val="20"/>
        </w:rPr>
        <w:t xml:space="preserve"> + N</w:t>
      </w:r>
      <w:r>
        <w:rPr>
          <w:sz w:val="20"/>
          <w:vertAlign w:val="subscript"/>
        </w:rPr>
        <w:t xml:space="preserve">2</w:t>
      </w:r>
      <w:r>
        <w:rPr>
          <w:sz w:val="20"/>
        </w:rPr>
        <w:t xml:space="preserve"> + ... + N</w:t>
      </w:r>
      <w:r>
        <w:rPr>
          <w:sz w:val="20"/>
          <w:vertAlign w:val="subscript"/>
        </w:rPr>
        <w:t xml:space="preserve">n</w:t>
      </w:r>
      <w:r>
        <w:rPr>
          <w:sz w:val="20"/>
        </w:rPr>
        <w:t xml:space="preserve"> / n x 100, где:</w:t>
      </w:r>
    </w:p>
    <w:p>
      <w:pPr>
        <w:pStyle w:val="0"/>
        <w:jc w:val="both"/>
      </w:pPr>
      <w:r>
        <w:rPr>
          <w:sz w:val="20"/>
        </w:rPr>
      </w:r>
    </w:p>
    <w:p>
      <w:pPr>
        <w:pStyle w:val="0"/>
        <w:ind w:firstLine="540"/>
        <w:jc w:val="both"/>
      </w:pPr>
      <w:r>
        <w:rPr>
          <w:sz w:val="20"/>
        </w:rPr>
        <w:t xml:space="preserve">E - эффективность реализации Подпрограммы (процентов);</w:t>
      </w:r>
    </w:p>
    <w:p>
      <w:pPr>
        <w:pStyle w:val="0"/>
        <w:spacing w:before="200" w:line-rule="auto"/>
        <w:ind w:firstLine="540"/>
        <w:jc w:val="both"/>
      </w:pPr>
      <w:r>
        <w:rPr>
          <w:sz w:val="20"/>
        </w:rPr>
        <w:t xml:space="preserve">N</w:t>
      </w:r>
      <w:r>
        <w:rPr>
          <w:sz w:val="20"/>
          <w:vertAlign w:val="subscript"/>
        </w:rPr>
        <w:t xml:space="preserve">1-т</w:t>
      </w:r>
      <w:r>
        <w:rPr>
          <w:sz w:val="20"/>
        </w:rPr>
        <w:t xml:space="preserve"> - целевые показатели (индикаторы) Подпрограммы;</w:t>
      </w:r>
    </w:p>
    <w:p>
      <w:pPr>
        <w:pStyle w:val="0"/>
        <w:spacing w:before="200" w:line-rule="auto"/>
        <w:ind w:firstLine="540"/>
        <w:jc w:val="both"/>
      </w:pPr>
      <w:r>
        <w:rPr>
          <w:sz w:val="20"/>
        </w:rPr>
        <w:t xml:space="preserve">n - количество целевых показателей (индикаторов) Подпрограммы.</w:t>
      </w:r>
    </w:p>
    <w:p>
      <w:pPr>
        <w:pStyle w:val="0"/>
        <w:spacing w:before="200" w:line-rule="auto"/>
        <w:ind w:firstLine="540"/>
        <w:jc w:val="both"/>
      </w:pPr>
      <w:r>
        <w:rPr>
          <w:sz w:val="20"/>
        </w:rPr>
        <w:t xml:space="preserve">По данным мониторинга и результатам оценки эффективности реализации Подпрограммы в нее могут быть внесены изменения.</w:t>
      </w:r>
    </w:p>
    <w:p>
      <w:pPr>
        <w:pStyle w:val="0"/>
        <w:spacing w:before="200" w:line-rule="auto"/>
        <w:ind w:firstLine="540"/>
        <w:jc w:val="both"/>
      </w:pPr>
      <w:r>
        <w:rPr>
          <w:sz w:val="20"/>
        </w:rPr>
        <w:t xml:space="preserve">На основании проведенного анализа основных направлений социально-экономического развития региона в целях минимизации возможных рисков при реализации Подпрограммы предлагаются следующие меры по их снижению.</w:t>
      </w:r>
    </w:p>
    <w:p>
      <w:pPr>
        <w:pStyle w:val="0"/>
        <w:spacing w:before="200" w:line-rule="auto"/>
        <w:ind w:firstLine="540"/>
        <w:jc w:val="both"/>
      </w:pPr>
      <w:r>
        <w:rPr>
          <w:sz w:val="20"/>
        </w:rPr>
        <w:t xml:space="preserve">1. Риски, связанные с трудоустройством и занятостью участников Государственной программы и членов их семей.</w:t>
      </w:r>
    </w:p>
    <w:p>
      <w:pPr>
        <w:pStyle w:val="0"/>
        <w:spacing w:before="200" w:line-rule="auto"/>
        <w:ind w:firstLine="540"/>
        <w:jc w:val="both"/>
      </w:pPr>
      <w:r>
        <w:rPr>
          <w:sz w:val="20"/>
        </w:rPr>
        <w:t xml:space="preserve">Предусматриваются Подпрограммой:</w:t>
      </w:r>
    </w:p>
    <w:p>
      <w:pPr>
        <w:pStyle w:val="0"/>
        <w:spacing w:before="200" w:line-rule="auto"/>
        <w:ind w:firstLine="540"/>
        <w:jc w:val="both"/>
      </w:pPr>
      <w:r>
        <w:rPr>
          <w:sz w:val="20"/>
        </w:rPr>
        <w:t xml:space="preserve">согласование кандидатуры участника Государственной программы с работодателем на основании заранее присланного заявления и указанных в нем сведений об образовании и профессионально-квалификационном уровне;</w:t>
      </w:r>
    </w:p>
    <w:p>
      <w:pPr>
        <w:pStyle w:val="0"/>
        <w:spacing w:before="200" w:line-rule="auto"/>
        <w:ind w:firstLine="540"/>
        <w:jc w:val="both"/>
      </w:pPr>
      <w:r>
        <w:rPr>
          <w:sz w:val="20"/>
        </w:rPr>
        <w:t xml:space="preserve">подбор вариантов подходящей работы по заявленным в центры занятости населения автономного округа вакансиям, в том числе предварительный подбор вариантов работы для трудоспособных членов семьи участника Государственной программы в соответствии с заявленным их профессионально-квалификационным уровнем до прибытия на территорию округа;</w:t>
      </w:r>
    </w:p>
    <w:p>
      <w:pPr>
        <w:pStyle w:val="0"/>
        <w:spacing w:before="200" w:line-rule="auto"/>
        <w:ind w:firstLine="540"/>
        <w:jc w:val="both"/>
      </w:pPr>
      <w:r>
        <w:rPr>
          <w:sz w:val="20"/>
        </w:rPr>
        <w:t xml:space="preserve">оказание государственных услуг участнику Государственной программы и членам его семьи в соответствии с законодательством о занятости населения;</w:t>
      </w:r>
    </w:p>
    <w:p>
      <w:pPr>
        <w:pStyle w:val="0"/>
        <w:spacing w:before="200" w:line-rule="auto"/>
        <w:ind w:firstLine="540"/>
        <w:jc w:val="both"/>
      </w:pPr>
      <w:r>
        <w:rPr>
          <w:sz w:val="20"/>
        </w:rPr>
        <w:t xml:space="preserve">расселение соотечественников преимущественно в местах с низким уровнем безработицы и на территориях с предполагаемым строительством новых производственных объектов, реализацией инвестиционных проектов.</w:t>
      </w:r>
    </w:p>
    <w:p>
      <w:pPr>
        <w:pStyle w:val="0"/>
        <w:spacing w:before="200" w:line-rule="auto"/>
        <w:ind w:firstLine="540"/>
        <w:jc w:val="both"/>
      </w:pPr>
      <w:r>
        <w:rPr>
          <w:sz w:val="20"/>
        </w:rPr>
        <w:t xml:space="preserve">2. Риски, связанные с жилищным обустройством участников Государственной программы и членов их семей.</w:t>
      </w:r>
    </w:p>
    <w:p>
      <w:pPr>
        <w:pStyle w:val="0"/>
        <w:spacing w:before="200" w:line-rule="auto"/>
        <w:ind w:firstLine="540"/>
        <w:jc w:val="both"/>
      </w:pPr>
      <w:r>
        <w:rPr>
          <w:sz w:val="20"/>
        </w:rPr>
        <w:t xml:space="preserve">Предусматривается Подпрограммой:</w:t>
      </w:r>
    </w:p>
    <w:p>
      <w:pPr>
        <w:pStyle w:val="0"/>
        <w:spacing w:before="200" w:line-rule="auto"/>
        <w:ind w:firstLine="540"/>
        <w:jc w:val="both"/>
      </w:pPr>
      <w:r>
        <w:rPr>
          <w:sz w:val="20"/>
        </w:rPr>
        <w:t xml:space="preserve">информирование соотечественников, желающих переселиться в автономный округ, об условиях временного размещения путем найма жилья, условиях ипотечного кредитования;</w:t>
      </w:r>
    </w:p>
    <w:p>
      <w:pPr>
        <w:pStyle w:val="0"/>
        <w:spacing w:before="200" w:line-rule="auto"/>
        <w:ind w:firstLine="540"/>
        <w:jc w:val="both"/>
      </w:pPr>
      <w:r>
        <w:rPr>
          <w:sz w:val="20"/>
        </w:rPr>
        <w:t xml:space="preserve">оказание содействия в подборе вакансий с предоставлением жилья участнику Государственной программы и членам его семьи.</w:t>
      </w:r>
    </w:p>
    <w:p>
      <w:pPr>
        <w:pStyle w:val="0"/>
        <w:spacing w:before="200" w:line-rule="auto"/>
        <w:ind w:firstLine="540"/>
        <w:jc w:val="both"/>
      </w:pPr>
      <w:r>
        <w:rPr>
          <w:sz w:val="20"/>
        </w:rPr>
        <w:t xml:space="preserve">3. Риски, связанные с адаптацией и интеграцией участников Государственной программы и членов их семей в принимаемое сообщество.</w:t>
      </w:r>
    </w:p>
    <w:p>
      <w:pPr>
        <w:pStyle w:val="0"/>
        <w:spacing w:before="200" w:line-rule="auto"/>
        <w:ind w:firstLine="540"/>
        <w:jc w:val="both"/>
      </w:pPr>
      <w:r>
        <w:rPr>
          <w:sz w:val="20"/>
        </w:rPr>
        <w:t xml:space="preserve">Предусматривается Подпрограммой:</w:t>
      </w:r>
    </w:p>
    <w:p>
      <w:pPr>
        <w:pStyle w:val="0"/>
        <w:spacing w:before="200" w:line-rule="auto"/>
        <w:ind w:firstLine="540"/>
        <w:jc w:val="both"/>
      </w:pPr>
      <w:r>
        <w:rPr>
          <w:sz w:val="20"/>
        </w:rPr>
        <w:t xml:space="preserve">организация работы с участниками Государственной программы и членами их семей, местным населением по разъяснению целей и задач Подпрограммы;</w:t>
      </w:r>
    </w:p>
    <w:p>
      <w:pPr>
        <w:pStyle w:val="0"/>
        <w:spacing w:before="200" w:line-rule="auto"/>
        <w:ind w:firstLine="540"/>
        <w:jc w:val="both"/>
      </w:pPr>
      <w:r>
        <w:rPr>
          <w:sz w:val="20"/>
        </w:rPr>
        <w:t xml:space="preserve">содействие в социальной и культурной адаптации и интеграции участников Государственной программы и членов их семей, в том числе при участии общественных организаций и диаспор;</w:t>
      </w:r>
    </w:p>
    <w:p>
      <w:pPr>
        <w:pStyle w:val="0"/>
        <w:spacing w:before="200" w:line-rule="auto"/>
        <w:ind w:firstLine="540"/>
        <w:jc w:val="both"/>
      </w:pPr>
      <w:r>
        <w:rPr>
          <w:sz w:val="20"/>
        </w:rPr>
        <w:t xml:space="preserve">организация и проведение мониторинга в сфере межнациональных и межконфессионных отношений.</w:t>
      </w:r>
    </w:p>
    <w:p>
      <w:pPr>
        <w:pStyle w:val="0"/>
        <w:spacing w:before="200" w:line-rule="auto"/>
        <w:ind w:firstLine="540"/>
        <w:jc w:val="both"/>
      </w:pPr>
      <w:r>
        <w:rPr>
          <w:sz w:val="20"/>
        </w:rPr>
        <w:t xml:space="preserve">С целью минимизации возможных рисков согласование кандидатур соотечественников для участия в Подпрограмме осуществляется в соответствии с требованиями, установленными </w:t>
      </w:r>
      <w:hyperlink w:history="0" w:anchor="P1351" w:tooltip="3.2. Порядок согласования Уполномоченным органом Югры кандидатуры потенциального участника Государственной программы.">
        <w:r>
          <w:rPr>
            <w:sz w:val="20"/>
            <w:color w:val="0000ff"/>
          </w:rPr>
          <w:t xml:space="preserve">пунктом 3.2</w:t>
        </w:r>
      </w:hyperlink>
      <w:r>
        <w:rPr>
          <w:sz w:val="20"/>
        </w:rPr>
        <w:t xml:space="preserve"> Порядка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Ханты-Мансийского автономного округа - Югры (приложение 2 к Подпрограмме).</w:t>
      </w:r>
    </w:p>
    <w:p>
      <w:pPr>
        <w:pStyle w:val="0"/>
        <w:jc w:val="both"/>
      </w:pPr>
      <w:r>
        <w:rPr>
          <w:sz w:val="20"/>
        </w:rPr>
      </w:r>
    </w:p>
    <w:p>
      <w:pPr>
        <w:pStyle w:val="0"/>
        <w:outlineLvl w:val="1"/>
        <w:jc w:val="right"/>
      </w:pPr>
      <w:r>
        <w:rPr>
          <w:sz w:val="20"/>
        </w:rPr>
        <w:t xml:space="preserve">Таблица 1</w:t>
      </w:r>
    </w:p>
    <w:p>
      <w:pPr>
        <w:pStyle w:val="0"/>
        <w:jc w:val="both"/>
      </w:pPr>
      <w:r>
        <w:rPr>
          <w:sz w:val="20"/>
        </w:rPr>
      </w:r>
    </w:p>
    <w:bookmarkStart w:id="454" w:name="P454"/>
    <w:bookmarkEnd w:id="454"/>
    <w:p>
      <w:pPr>
        <w:pStyle w:val="2"/>
        <w:jc w:val="center"/>
      </w:pPr>
      <w:r>
        <w:rPr>
          <w:sz w:val="20"/>
        </w:rPr>
        <w:t xml:space="preserve">Целевые показатели (индикаторы) реализации Подпрограммы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3402"/>
        <w:gridCol w:w="761"/>
        <w:gridCol w:w="793"/>
        <w:gridCol w:w="851"/>
        <w:gridCol w:w="850"/>
        <w:gridCol w:w="850"/>
        <w:gridCol w:w="850"/>
        <w:gridCol w:w="850"/>
        <w:gridCol w:w="794"/>
        <w:gridCol w:w="794"/>
        <w:gridCol w:w="794"/>
        <w:gridCol w:w="1020"/>
      </w:tblGrid>
      <w:tr>
        <w:tc>
          <w:tcPr>
            <w:tcW w:w="704" w:type="dxa"/>
            <w:vMerge w:val="restart"/>
          </w:tcPr>
          <w:p>
            <w:pPr>
              <w:pStyle w:val="0"/>
              <w:jc w:val="center"/>
            </w:pPr>
            <w:r>
              <w:rPr>
                <w:sz w:val="20"/>
              </w:rPr>
              <w:t xml:space="preserve">N п/п</w:t>
            </w:r>
          </w:p>
        </w:tc>
        <w:tc>
          <w:tcPr>
            <w:tcW w:w="3402" w:type="dxa"/>
            <w:vMerge w:val="restart"/>
          </w:tcPr>
          <w:p>
            <w:pPr>
              <w:pStyle w:val="0"/>
              <w:jc w:val="center"/>
            </w:pPr>
            <w:r>
              <w:rPr>
                <w:sz w:val="20"/>
              </w:rPr>
              <w:t xml:space="preserve">Цели, задачи реализации программы и показатели</w:t>
            </w:r>
          </w:p>
        </w:tc>
        <w:tc>
          <w:tcPr>
            <w:tcW w:w="761" w:type="dxa"/>
            <w:vMerge w:val="restart"/>
          </w:tcPr>
          <w:p>
            <w:pPr>
              <w:pStyle w:val="0"/>
              <w:jc w:val="center"/>
            </w:pPr>
            <w:r>
              <w:rPr>
                <w:sz w:val="20"/>
              </w:rPr>
              <w:t xml:space="preserve">Единица измерения</w:t>
            </w:r>
          </w:p>
        </w:tc>
        <w:tc>
          <w:tcPr>
            <w:gridSpan w:val="5"/>
            <w:tcW w:w="4194" w:type="dxa"/>
          </w:tcPr>
          <w:p>
            <w:pPr>
              <w:pStyle w:val="0"/>
              <w:jc w:val="center"/>
            </w:pPr>
            <w:r>
              <w:rPr>
                <w:sz w:val="20"/>
              </w:rPr>
              <w:t xml:space="preserve">Отчетный период</w:t>
            </w:r>
          </w:p>
          <w:p>
            <w:pPr>
              <w:pStyle w:val="0"/>
              <w:jc w:val="center"/>
            </w:pPr>
            <w:r>
              <w:rPr>
                <w:sz w:val="20"/>
              </w:rPr>
              <w:t xml:space="preserve">(текущий показатель предыдущих лет)</w:t>
            </w:r>
          </w:p>
        </w:tc>
        <w:tc>
          <w:tcPr>
            <w:gridSpan w:val="4"/>
            <w:tcW w:w="3232" w:type="dxa"/>
          </w:tcPr>
          <w:p>
            <w:pPr>
              <w:pStyle w:val="0"/>
              <w:jc w:val="center"/>
            </w:pPr>
            <w:r>
              <w:rPr>
                <w:sz w:val="20"/>
              </w:rPr>
              <w:t xml:space="preserve">Плановый период</w:t>
            </w:r>
          </w:p>
          <w:p>
            <w:pPr>
              <w:pStyle w:val="0"/>
              <w:jc w:val="center"/>
            </w:pPr>
            <w:r>
              <w:rPr>
                <w:sz w:val="20"/>
              </w:rPr>
              <w:t xml:space="preserve">(плановый показатель)</w:t>
            </w:r>
          </w:p>
        </w:tc>
        <w:tc>
          <w:tcPr>
            <w:tcW w:w="1020" w:type="dxa"/>
            <w:vMerge w:val="restart"/>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793" w:type="dxa"/>
          </w:tcPr>
          <w:p>
            <w:pPr>
              <w:pStyle w:val="0"/>
              <w:jc w:val="center"/>
            </w:pPr>
            <w:r>
              <w:rPr>
                <w:sz w:val="20"/>
              </w:rPr>
              <w:t xml:space="preserve">2017 год</w:t>
            </w:r>
          </w:p>
        </w:tc>
        <w:tc>
          <w:tcPr>
            <w:tcW w:w="851" w:type="dxa"/>
          </w:tcPr>
          <w:p>
            <w:pPr>
              <w:pStyle w:val="0"/>
              <w:jc w:val="center"/>
            </w:pPr>
            <w:r>
              <w:rPr>
                <w:sz w:val="20"/>
              </w:rPr>
              <w:t xml:space="preserve">2018 год</w:t>
            </w:r>
          </w:p>
        </w:tc>
        <w:tc>
          <w:tcPr>
            <w:tcW w:w="850" w:type="dxa"/>
          </w:tcPr>
          <w:p>
            <w:pPr>
              <w:pStyle w:val="0"/>
              <w:jc w:val="center"/>
            </w:pPr>
            <w:r>
              <w:rPr>
                <w:sz w:val="20"/>
              </w:rPr>
              <w:t xml:space="preserve">2019 год</w:t>
            </w:r>
          </w:p>
        </w:tc>
        <w:tc>
          <w:tcPr>
            <w:tcW w:w="850" w:type="dxa"/>
          </w:tcPr>
          <w:p>
            <w:pPr>
              <w:pStyle w:val="0"/>
              <w:jc w:val="center"/>
            </w:pPr>
            <w:r>
              <w:rPr>
                <w:sz w:val="20"/>
              </w:rPr>
              <w:t xml:space="preserve">2020 год</w:t>
            </w:r>
          </w:p>
        </w:tc>
        <w:tc>
          <w:tcPr>
            <w:tcW w:w="850" w:type="dxa"/>
          </w:tcPr>
          <w:p>
            <w:pPr>
              <w:pStyle w:val="0"/>
              <w:jc w:val="center"/>
            </w:pPr>
            <w:r>
              <w:rPr>
                <w:sz w:val="20"/>
              </w:rPr>
              <w:t xml:space="preserve">2021 год</w:t>
            </w:r>
          </w:p>
        </w:tc>
        <w:tc>
          <w:tcPr>
            <w:tcW w:w="850"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vMerge w:val="continue"/>
          </w:tcPr>
          <w:p/>
        </w:tc>
      </w:tr>
      <w:tr>
        <w:tc>
          <w:tcPr>
            <w:tcW w:w="704" w:type="dxa"/>
          </w:tcPr>
          <w:p>
            <w:pPr>
              <w:pStyle w:val="0"/>
              <w:jc w:val="center"/>
            </w:pPr>
            <w:r>
              <w:rPr>
                <w:sz w:val="20"/>
              </w:rPr>
              <w:t xml:space="preserve">1</w:t>
            </w:r>
          </w:p>
        </w:tc>
        <w:tc>
          <w:tcPr>
            <w:tcW w:w="3402" w:type="dxa"/>
          </w:tcPr>
          <w:p>
            <w:pPr>
              <w:pStyle w:val="0"/>
              <w:jc w:val="center"/>
            </w:pPr>
            <w:r>
              <w:rPr>
                <w:sz w:val="20"/>
              </w:rPr>
              <w:t xml:space="preserve">2</w:t>
            </w:r>
          </w:p>
        </w:tc>
        <w:tc>
          <w:tcPr>
            <w:tcW w:w="761" w:type="dxa"/>
          </w:tcPr>
          <w:p>
            <w:pPr>
              <w:pStyle w:val="0"/>
              <w:jc w:val="center"/>
            </w:pPr>
            <w:r>
              <w:rPr>
                <w:sz w:val="20"/>
              </w:rPr>
              <w:t xml:space="preserve">3</w:t>
            </w:r>
          </w:p>
        </w:tc>
        <w:tc>
          <w:tcPr>
            <w:tcW w:w="793" w:type="dxa"/>
          </w:tcPr>
          <w:p>
            <w:pPr>
              <w:pStyle w:val="0"/>
              <w:jc w:val="center"/>
            </w:pPr>
            <w:r>
              <w:rPr>
                <w:sz w:val="20"/>
              </w:rPr>
              <w:t xml:space="preserve">4</w:t>
            </w:r>
          </w:p>
        </w:tc>
        <w:tc>
          <w:tcPr>
            <w:tcW w:w="851" w:type="dxa"/>
          </w:tcPr>
          <w:p>
            <w:pPr>
              <w:pStyle w:val="0"/>
              <w:jc w:val="center"/>
            </w:pPr>
            <w:r>
              <w:rPr>
                <w:sz w:val="20"/>
              </w:rPr>
              <w:t xml:space="preserve">5</w:t>
            </w:r>
          </w:p>
        </w:tc>
        <w:tc>
          <w:tcPr>
            <w:tcW w:w="850" w:type="dxa"/>
          </w:tcPr>
          <w:p>
            <w:pPr>
              <w:pStyle w:val="0"/>
              <w:jc w:val="center"/>
            </w:pPr>
            <w:r>
              <w:rPr>
                <w:sz w:val="20"/>
              </w:rPr>
              <w:t xml:space="preserve">6</w:t>
            </w:r>
          </w:p>
        </w:tc>
        <w:tc>
          <w:tcPr>
            <w:tcW w:w="850"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1020" w:type="dxa"/>
          </w:tcPr>
          <w:p>
            <w:pPr>
              <w:pStyle w:val="0"/>
              <w:jc w:val="center"/>
            </w:pPr>
            <w:r>
              <w:rPr>
                <w:sz w:val="20"/>
              </w:rPr>
              <w:t xml:space="preserve">13</w:t>
            </w:r>
          </w:p>
        </w:tc>
      </w:tr>
      <w:tr>
        <w:tc>
          <w:tcPr>
            <w:gridSpan w:val="13"/>
            <w:tcW w:w="13313" w:type="dxa"/>
          </w:tcPr>
          <w:p>
            <w:pPr>
              <w:pStyle w:val="0"/>
            </w:pPr>
            <w:r>
              <w:rPr>
                <w:sz w:val="20"/>
              </w:rPr>
              <w:t xml:space="preserve">Цель: Обеспечение реализации Государственной программы в Ханты-Мансийском автономном округе - Югре</w:t>
            </w:r>
          </w:p>
        </w:tc>
      </w:tr>
      <w:tr>
        <w:tc>
          <w:tcPr>
            <w:tcW w:w="704" w:type="dxa"/>
          </w:tcPr>
          <w:p>
            <w:pPr>
              <w:pStyle w:val="0"/>
            </w:pPr>
            <w:r>
              <w:rPr>
                <w:sz w:val="20"/>
              </w:rPr>
              <w:t xml:space="preserve">1.</w:t>
            </w:r>
          </w:p>
        </w:tc>
        <w:tc>
          <w:tcPr>
            <w:tcW w:w="3402" w:type="dxa"/>
          </w:tcPr>
          <w:p>
            <w:pPr>
              <w:pStyle w:val="0"/>
            </w:pPr>
            <w:r>
              <w:rPr>
                <w:sz w:val="20"/>
              </w:rPr>
              <w:t xml:space="preserve">Численность участников Государственной программы и членов их семей, прибывших в автономный округ и зарегистрированных Управлением Министерства внутренних дел Российской Федерации по автономному округу</w:t>
            </w:r>
          </w:p>
        </w:tc>
        <w:tc>
          <w:tcPr>
            <w:tcW w:w="761" w:type="dxa"/>
          </w:tcPr>
          <w:p>
            <w:pPr>
              <w:pStyle w:val="0"/>
            </w:pPr>
            <w:r>
              <w:rPr>
                <w:sz w:val="20"/>
              </w:rPr>
              <w:t xml:space="preserve">человек</w:t>
            </w:r>
          </w:p>
        </w:tc>
        <w:tc>
          <w:tcPr>
            <w:tcW w:w="793" w:type="dxa"/>
          </w:tcPr>
          <w:p>
            <w:pPr>
              <w:pStyle w:val="0"/>
            </w:pPr>
            <w:r>
              <w:rPr>
                <w:sz w:val="20"/>
              </w:rPr>
              <w:t xml:space="preserve">2412</w:t>
            </w:r>
          </w:p>
        </w:tc>
        <w:tc>
          <w:tcPr>
            <w:tcW w:w="851" w:type="dxa"/>
          </w:tcPr>
          <w:p>
            <w:pPr>
              <w:pStyle w:val="0"/>
            </w:pPr>
            <w:r>
              <w:rPr>
                <w:sz w:val="20"/>
              </w:rPr>
              <w:t xml:space="preserve">1215</w:t>
            </w:r>
          </w:p>
        </w:tc>
        <w:tc>
          <w:tcPr>
            <w:tcW w:w="850" w:type="dxa"/>
          </w:tcPr>
          <w:p>
            <w:pPr>
              <w:pStyle w:val="0"/>
            </w:pPr>
            <w:r>
              <w:rPr>
                <w:sz w:val="20"/>
              </w:rPr>
              <w:t xml:space="preserve">947</w:t>
            </w:r>
          </w:p>
        </w:tc>
        <w:tc>
          <w:tcPr>
            <w:tcW w:w="850" w:type="dxa"/>
          </w:tcPr>
          <w:p>
            <w:pPr>
              <w:pStyle w:val="0"/>
            </w:pPr>
            <w:r>
              <w:rPr>
                <w:sz w:val="20"/>
              </w:rPr>
              <w:t xml:space="preserve">280</w:t>
            </w:r>
          </w:p>
        </w:tc>
        <w:tc>
          <w:tcPr>
            <w:tcW w:w="850" w:type="dxa"/>
          </w:tcPr>
          <w:p>
            <w:pPr>
              <w:pStyle w:val="0"/>
            </w:pPr>
            <w:r>
              <w:rPr>
                <w:sz w:val="20"/>
              </w:rPr>
              <w:t xml:space="preserve">284</w:t>
            </w:r>
          </w:p>
        </w:tc>
        <w:tc>
          <w:tcPr>
            <w:tcW w:w="850" w:type="dxa"/>
          </w:tcPr>
          <w:p>
            <w:pPr>
              <w:pStyle w:val="0"/>
            </w:pPr>
            <w:r>
              <w:rPr>
                <w:sz w:val="20"/>
              </w:rPr>
              <w:t xml:space="preserve">288</w:t>
            </w:r>
          </w:p>
        </w:tc>
        <w:tc>
          <w:tcPr>
            <w:tcW w:w="794" w:type="dxa"/>
          </w:tcPr>
          <w:p>
            <w:pPr>
              <w:pStyle w:val="0"/>
            </w:pPr>
            <w:r>
              <w:rPr>
                <w:sz w:val="20"/>
              </w:rPr>
              <w:t xml:space="preserve">290</w:t>
            </w:r>
          </w:p>
        </w:tc>
        <w:tc>
          <w:tcPr>
            <w:tcW w:w="794" w:type="dxa"/>
          </w:tcPr>
          <w:p>
            <w:pPr>
              <w:pStyle w:val="0"/>
            </w:pPr>
            <w:r>
              <w:rPr>
                <w:sz w:val="20"/>
              </w:rPr>
              <w:t xml:space="preserve">292</w:t>
            </w:r>
          </w:p>
        </w:tc>
        <w:tc>
          <w:tcPr>
            <w:tcW w:w="794" w:type="dxa"/>
          </w:tcPr>
          <w:p>
            <w:pPr>
              <w:pStyle w:val="0"/>
            </w:pPr>
            <w:r>
              <w:rPr>
                <w:sz w:val="20"/>
              </w:rPr>
              <w:t xml:space="preserve">294</w:t>
            </w:r>
          </w:p>
        </w:tc>
        <w:tc>
          <w:tcPr>
            <w:tcW w:w="1020" w:type="dxa"/>
          </w:tcPr>
          <w:p>
            <w:pPr>
              <w:pStyle w:val="0"/>
            </w:pPr>
            <w:r>
              <w:rPr>
                <w:sz w:val="20"/>
              </w:rPr>
              <w:t xml:space="preserve">1728</w:t>
            </w:r>
          </w:p>
        </w:tc>
      </w:tr>
      <w:tr>
        <w:tc>
          <w:tcPr>
            <w:gridSpan w:val="13"/>
            <w:tcW w:w="13313" w:type="dxa"/>
          </w:tcPr>
          <w:p>
            <w:pPr>
              <w:pStyle w:val="0"/>
            </w:pPr>
            <w:r>
              <w:rPr>
                <w:sz w:val="20"/>
              </w:rPr>
              <w:t xml:space="preserve">Задача: Создание правовых, организационных и информационных условий, способствующих добровольному переселению соотечественников из числа квалифицированных специалистов, проживающих за рубежом, в Ханты-Мансийский автономный округ - Югру</w:t>
            </w:r>
          </w:p>
        </w:tc>
      </w:tr>
      <w:tr>
        <w:tc>
          <w:tcPr>
            <w:tcW w:w="704" w:type="dxa"/>
          </w:tcPr>
          <w:p>
            <w:pPr>
              <w:pStyle w:val="0"/>
            </w:pPr>
            <w:r>
              <w:rPr>
                <w:sz w:val="20"/>
              </w:rPr>
              <w:t xml:space="preserve">1.1</w:t>
            </w:r>
          </w:p>
        </w:tc>
        <w:tc>
          <w:tcPr>
            <w:tcW w:w="3402" w:type="dxa"/>
          </w:tcPr>
          <w:p>
            <w:pPr>
              <w:pStyle w:val="0"/>
            </w:pPr>
            <w:r>
              <w:rPr>
                <w:sz w:val="20"/>
              </w:rPr>
              <w:t xml:space="preserve">Доля рассмотренных Уполномоченным органом Югры заявлений соотечественников - потенциальных участников Подпрограммы, от общего числа поступивших заявлений</w:t>
            </w:r>
          </w:p>
        </w:tc>
        <w:tc>
          <w:tcPr>
            <w:tcW w:w="761" w:type="dxa"/>
          </w:tcPr>
          <w:p>
            <w:pPr>
              <w:pStyle w:val="0"/>
            </w:pPr>
            <w:r>
              <w:rPr>
                <w:sz w:val="20"/>
              </w:rPr>
              <w:t xml:space="preserve">%</w:t>
            </w:r>
          </w:p>
        </w:tc>
        <w:tc>
          <w:tcPr>
            <w:tcW w:w="793" w:type="dxa"/>
          </w:tcPr>
          <w:p>
            <w:pPr>
              <w:pStyle w:val="0"/>
            </w:pPr>
            <w:r>
              <w:rPr>
                <w:sz w:val="20"/>
              </w:rPr>
              <w:t xml:space="preserve">100</w:t>
            </w:r>
          </w:p>
        </w:tc>
        <w:tc>
          <w:tcPr>
            <w:tcW w:w="851"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850" w:type="dxa"/>
          </w:tcPr>
          <w:p>
            <w:pPr>
              <w:pStyle w:val="0"/>
            </w:pPr>
            <w:r>
              <w:rPr>
                <w:sz w:val="20"/>
              </w:rPr>
              <w:t xml:space="preserve">100</w:t>
            </w:r>
          </w:p>
        </w:tc>
        <w:tc>
          <w:tcPr>
            <w:tcW w:w="794" w:type="dxa"/>
          </w:tcPr>
          <w:p>
            <w:pPr>
              <w:pStyle w:val="0"/>
            </w:pPr>
            <w:r>
              <w:rPr>
                <w:sz w:val="20"/>
              </w:rPr>
              <w:t xml:space="preserve">100</w:t>
            </w:r>
          </w:p>
        </w:tc>
        <w:tc>
          <w:tcPr>
            <w:tcW w:w="794" w:type="dxa"/>
          </w:tcPr>
          <w:p>
            <w:pPr>
              <w:pStyle w:val="0"/>
            </w:pPr>
            <w:r>
              <w:rPr>
                <w:sz w:val="20"/>
              </w:rPr>
              <w:t xml:space="preserve">100</w:t>
            </w:r>
          </w:p>
        </w:tc>
        <w:tc>
          <w:tcPr>
            <w:tcW w:w="794" w:type="dxa"/>
          </w:tcPr>
          <w:p>
            <w:pPr>
              <w:pStyle w:val="0"/>
            </w:pPr>
            <w:r>
              <w:rPr>
                <w:sz w:val="20"/>
              </w:rPr>
              <w:t xml:space="preserve">100</w:t>
            </w:r>
          </w:p>
        </w:tc>
        <w:tc>
          <w:tcPr>
            <w:tcW w:w="1020" w:type="dxa"/>
          </w:tcPr>
          <w:p>
            <w:pPr>
              <w:pStyle w:val="0"/>
            </w:pPr>
            <w:r>
              <w:rPr>
                <w:sz w:val="20"/>
              </w:rPr>
              <w:t xml:space="preserve">100</w:t>
            </w:r>
          </w:p>
        </w:tc>
      </w:tr>
      <w:tr>
        <w:tc>
          <w:tcPr>
            <w:tcW w:w="704" w:type="dxa"/>
          </w:tcPr>
          <w:p>
            <w:pPr>
              <w:pStyle w:val="0"/>
            </w:pPr>
            <w:r>
              <w:rPr>
                <w:sz w:val="20"/>
              </w:rPr>
              <w:t xml:space="preserve">1.2</w:t>
            </w:r>
          </w:p>
        </w:tc>
        <w:tc>
          <w:tcPr>
            <w:tcW w:w="3402" w:type="dxa"/>
          </w:tcPr>
          <w:p>
            <w:pPr>
              <w:pStyle w:val="0"/>
            </w:pPr>
            <w:r>
              <w:rPr>
                <w:sz w:val="20"/>
              </w:rPr>
              <w:t xml:space="preserve">Количество презентаций Подпрограммы</w:t>
            </w:r>
          </w:p>
        </w:tc>
        <w:tc>
          <w:tcPr>
            <w:tcW w:w="761" w:type="dxa"/>
          </w:tcPr>
          <w:p>
            <w:pPr>
              <w:pStyle w:val="0"/>
            </w:pPr>
            <w:r>
              <w:rPr>
                <w:sz w:val="20"/>
              </w:rPr>
              <w:t xml:space="preserve">единиц</w:t>
            </w:r>
          </w:p>
        </w:tc>
        <w:tc>
          <w:tcPr>
            <w:tcW w:w="793" w:type="dxa"/>
          </w:tcPr>
          <w:p>
            <w:pPr>
              <w:pStyle w:val="0"/>
            </w:pPr>
            <w:r>
              <w:rPr>
                <w:sz w:val="20"/>
              </w:rPr>
              <w:t xml:space="preserve">2</w:t>
            </w:r>
          </w:p>
        </w:tc>
        <w:tc>
          <w:tcPr>
            <w:tcW w:w="851" w:type="dxa"/>
          </w:tcPr>
          <w:p>
            <w:pPr>
              <w:pStyle w:val="0"/>
            </w:pPr>
            <w:r>
              <w:rPr>
                <w:sz w:val="20"/>
              </w:rPr>
              <w:t xml:space="preserve">2</w:t>
            </w:r>
          </w:p>
        </w:tc>
        <w:tc>
          <w:tcPr>
            <w:tcW w:w="850" w:type="dxa"/>
          </w:tcPr>
          <w:p>
            <w:pPr>
              <w:pStyle w:val="0"/>
            </w:pPr>
            <w:r>
              <w:rPr>
                <w:sz w:val="20"/>
              </w:rPr>
              <w:t xml:space="preserve">2</w:t>
            </w:r>
          </w:p>
        </w:tc>
        <w:tc>
          <w:tcPr>
            <w:tcW w:w="850" w:type="dxa"/>
          </w:tcPr>
          <w:p>
            <w:pPr>
              <w:pStyle w:val="0"/>
            </w:pPr>
            <w:r>
              <w:rPr>
                <w:sz w:val="20"/>
              </w:rPr>
              <w:t xml:space="preserve">2</w:t>
            </w:r>
          </w:p>
        </w:tc>
        <w:tc>
          <w:tcPr>
            <w:tcW w:w="850" w:type="dxa"/>
          </w:tcPr>
          <w:p>
            <w:pPr>
              <w:pStyle w:val="0"/>
            </w:pPr>
            <w:r>
              <w:rPr>
                <w:sz w:val="20"/>
              </w:rPr>
              <w:t xml:space="preserve">2</w:t>
            </w:r>
          </w:p>
        </w:tc>
        <w:tc>
          <w:tcPr>
            <w:tcW w:w="850" w:type="dxa"/>
          </w:tcPr>
          <w:p>
            <w:pPr>
              <w:pStyle w:val="0"/>
            </w:pPr>
            <w:r>
              <w:rPr>
                <w:sz w:val="20"/>
              </w:rPr>
              <w:t xml:space="preserve">2</w:t>
            </w:r>
          </w:p>
        </w:tc>
        <w:tc>
          <w:tcPr>
            <w:tcW w:w="794" w:type="dxa"/>
          </w:tcPr>
          <w:p>
            <w:pPr>
              <w:pStyle w:val="0"/>
            </w:pPr>
            <w:r>
              <w:rPr>
                <w:sz w:val="20"/>
              </w:rPr>
              <w:t xml:space="preserve">2</w:t>
            </w:r>
          </w:p>
        </w:tc>
        <w:tc>
          <w:tcPr>
            <w:tcW w:w="794" w:type="dxa"/>
          </w:tcPr>
          <w:p>
            <w:pPr>
              <w:pStyle w:val="0"/>
            </w:pPr>
            <w:r>
              <w:rPr>
                <w:sz w:val="20"/>
              </w:rPr>
              <w:t xml:space="preserve">2</w:t>
            </w:r>
          </w:p>
        </w:tc>
        <w:tc>
          <w:tcPr>
            <w:tcW w:w="794" w:type="dxa"/>
          </w:tcPr>
          <w:p>
            <w:pPr>
              <w:pStyle w:val="0"/>
            </w:pPr>
            <w:r>
              <w:rPr>
                <w:sz w:val="20"/>
              </w:rPr>
              <w:t xml:space="preserve">2</w:t>
            </w:r>
          </w:p>
        </w:tc>
        <w:tc>
          <w:tcPr>
            <w:tcW w:w="1020" w:type="dxa"/>
          </w:tcPr>
          <w:p>
            <w:pPr>
              <w:pStyle w:val="0"/>
            </w:pPr>
            <w:r>
              <w:rPr>
                <w:sz w:val="20"/>
              </w:rPr>
              <w:t xml:space="preserve">12</w:t>
            </w:r>
          </w:p>
        </w:tc>
      </w:tr>
      <w:tr>
        <w:tc>
          <w:tcPr>
            <w:gridSpan w:val="13"/>
            <w:tcW w:w="13313" w:type="dxa"/>
          </w:tcPr>
          <w:p>
            <w:pPr>
              <w:pStyle w:val="0"/>
            </w:pPr>
            <w:r>
              <w:rPr>
                <w:sz w:val="20"/>
              </w:rPr>
              <w:t xml:space="preserve">Цель: Обеспечение социально-экономического развития Ханты-Мансийского автономного округа - Югры путем содействия добровольному переселению квалифицированных специалистов из числа соотечественников, проживающих за рубежом</w:t>
            </w:r>
          </w:p>
        </w:tc>
      </w:tr>
      <w:tr>
        <w:tc>
          <w:tcPr>
            <w:tcW w:w="704" w:type="dxa"/>
          </w:tcPr>
          <w:p>
            <w:pPr>
              <w:pStyle w:val="0"/>
            </w:pPr>
            <w:r>
              <w:rPr>
                <w:sz w:val="20"/>
              </w:rPr>
              <w:t xml:space="preserve">1.</w:t>
            </w:r>
          </w:p>
        </w:tc>
        <w:tc>
          <w:tcPr>
            <w:tcW w:w="3402" w:type="dxa"/>
          </w:tcPr>
          <w:p>
            <w:pPr>
              <w:pStyle w:val="0"/>
            </w:pPr>
            <w:r>
              <w:rPr>
                <w:sz w:val="20"/>
              </w:rPr>
              <w:t xml:space="preserve">Доля участников Государственной программы, имеющих среднее профессиональное или высшее образование, от общего числа участников Государственной программы</w:t>
            </w:r>
          </w:p>
        </w:tc>
        <w:tc>
          <w:tcPr>
            <w:tcW w:w="761" w:type="dxa"/>
          </w:tcPr>
          <w:p>
            <w:pPr>
              <w:pStyle w:val="0"/>
            </w:pPr>
            <w:r>
              <w:rPr>
                <w:sz w:val="20"/>
              </w:rPr>
              <w:t xml:space="preserve">%</w:t>
            </w:r>
          </w:p>
        </w:tc>
        <w:tc>
          <w:tcPr>
            <w:tcW w:w="793" w:type="dxa"/>
          </w:tcPr>
          <w:p>
            <w:pPr>
              <w:pStyle w:val="0"/>
            </w:pPr>
            <w:r>
              <w:rPr>
                <w:sz w:val="20"/>
              </w:rPr>
              <w:t xml:space="preserve">90</w:t>
            </w:r>
          </w:p>
        </w:tc>
        <w:tc>
          <w:tcPr>
            <w:tcW w:w="851"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850" w:type="dxa"/>
          </w:tcPr>
          <w:p>
            <w:pPr>
              <w:pStyle w:val="0"/>
            </w:pPr>
            <w:r>
              <w:rPr>
                <w:sz w:val="20"/>
              </w:rPr>
              <w:t xml:space="preserve">90</w:t>
            </w:r>
          </w:p>
        </w:tc>
        <w:tc>
          <w:tcPr>
            <w:tcW w:w="794" w:type="dxa"/>
          </w:tcPr>
          <w:p>
            <w:pPr>
              <w:pStyle w:val="0"/>
            </w:pPr>
            <w:r>
              <w:rPr>
                <w:sz w:val="20"/>
              </w:rPr>
              <w:t xml:space="preserve">90</w:t>
            </w:r>
          </w:p>
        </w:tc>
        <w:tc>
          <w:tcPr>
            <w:tcW w:w="794" w:type="dxa"/>
          </w:tcPr>
          <w:p>
            <w:pPr>
              <w:pStyle w:val="0"/>
            </w:pPr>
            <w:r>
              <w:rPr>
                <w:sz w:val="20"/>
              </w:rPr>
              <w:t xml:space="preserve">90</w:t>
            </w:r>
          </w:p>
        </w:tc>
        <w:tc>
          <w:tcPr>
            <w:tcW w:w="794" w:type="dxa"/>
          </w:tcPr>
          <w:p>
            <w:pPr>
              <w:pStyle w:val="0"/>
            </w:pPr>
            <w:r>
              <w:rPr>
                <w:sz w:val="20"/>
              </w:rPr>
              <w:t xml:space="preserve">90</w:t>
            </w:r>
          </w:p>
        </w:tc>
        <w:tc>
          <w:tcPr>
            <w:tcW w:w="1020" w:type="dxa"/>
          </w:tcPr>
          <w:p>
            <w:pPr>
              <w:pStyle w:val="0"/>
            </w:pPr>
            <w:r>
              <w:rPr>
                <w:sz w:val="20"/>
              </w:rPr>
              <w:t xml:space="preserve">90</w:t>
            </w:r>
          </w:p>
        </w:tc>
      </w:tr>
      <w:tr>
        <w:tc>
          <w:tcPr>
            <w:gridSpan w:val="13"/>
            <w:tcW w:w="13313" w:type="dxa"/>
          </w:tcPr>
          <w:p>
            <w:pPr>
              <w:pStyle w:val="0"/>
            </w:pPr>
            <w:r>
              <w:rPr>
                <w:sz w:val="20"/>
              </w:rPr>
              <w:t xml:space="preserve">Задача: Создание условий для адаптации и интеграции участников Государственной программы и членов их семей в принимающее сообщество</w:t>
            </w:r>
          </w:p>
        </w:tc>
      </w:tr>
      <w:tr>
        <w:tc>
          <w:tcPr>
            <w:tcW w:w="704" w:type="dxa"/>
          </w:tcPr>
          <w:p>
            <w:pPr>
              <w:pStyle w:val="0"/>
            </w:pPr>
            <w:r>
              <w:rPr>
                <w:sz w:val="20"/>
              </w:rPr>
              <w:t xml:space="preserve">1.1</w:t>
            </w:r>
          </w:p>
        </w:tc>
        <w:tc>
          <w:tcPr>
            <w:tcW w:w="3402" w:type="dxa"/>
          </w:tcPr>
          <w:p>
            <w:pPr>
              <w:pStyle w:val="0"/>
            </w:pPr>
            <w:r>
              <w:rPr>
                <w:sz w:val="20"/>
              </w:rPr>
              <w:t xml:space="preserve">Количество консультационных услуг, оказанных участникам Государственной программы и членам их семей</w:t>
            </w:r>
          </w:p>
        </w:tc>
        <w:tc>
          <w:tcPr>
            <w:tcW w:w="761" w:type="dxa"/>
          </w:tcPr>
          <w:p>
            <w:pPr>
              <w:pStyle w:val="0"/>
            </w:pPr>
            <w:r>
              <w:rPr>
                <w:sz w:val="20"/>
              </w:rPr>
              <w:t xml:space="preserve">единиц</w:t>
            </w:r>
          </w:p>
        </w:tc>
        <w:tc>
          <w:tcPr>
            <w:tcW w:w="793" w:type="dxa"/>
          </w:tcPr>
          <w:p>
            <w:pPr>
              <w:pStyle w:val="0"/>
            </w:pPr>
            <w:r>
              <w:rPr>
                <w:sz w:val="20"/>
              </w:rPr>
              <w:t xml:space="preserve">657</w:t>
            </w:r>
          </w:p>
        </w:tc>
        <w:tc>
          <w:tcPr>
            <w:tcW w:w="851" w:type="dxa"/>
          </w:tcPr>
          <w:p>
            <w:pPr>
              <w:pStyle w:val="0"/>
            </w:pPr>
            <w:r>
              <w:rPr>
                <w:sz w:val="20"/>
              </w:rPr>
              <w:t xml:space="preserve">478</w:t>
            </w:r>
          </w:p>
        </w:tc>
        <w:tc>
          <w:tcPr>
            <w:tcW w:w="850" w:type="dxa"/>
          </w:tcPr>
          <w:p>
            <w:pPr>
              <w:pStyle w:val="0"/>
            </w:pPr>
            <w:r>
              <w:rPr>
                <w:sz w:val="20"/>
              </w:rPr>
              <w:t xml:space="preserve">490</w:t>
            </w:r>
          </w:p>
        </w:tc>
        <w:tc>
          <w:tcPr>
            <w:tcW w:w="850" w:type="dxa"/>
          </w:tcPr>
          <w:p>
            <w:pPr>
              <w:pStyle w:val="0"/>
            </w:pPr>
            <w:r>
              <w:rPr>
                <w:sz w:val="20"/>
              </w:rPr>
              <w:t xml:space="preserve">500</w:t>
            </w:r>
          </w:p>
        </w:tc>
        <w:tc>
          <w:tcPr>
            <w:tcW w:w="850" w:type="dxa"/>
          </w:tcPr>
          <w:p>
            <w:pPr>
              <w:pStyle w:val="0"/>
            </w:pPr>
            <w:r>
              <w:rPr>
                <w:sz w:val="20"/>
              </w:rPr>
              <w:t xml:space="preserve">510</w:t>
            </w:r>
          </w:p>
        </w:tc>
        <w:tc>
          <w:tcPr>
            <w:tcW w:w="850" w:type="dxa"/>
          </w:tcPr>
          <w:p>
            <w:pPr>
              <w:pStyle w:val="0"/>
            </w:pPr>
            <w:r>
              <w:rPr>
                <w:sz w:val="20"/>
              </w:rPr>
              <w:t xml:space="preserve">520</w:t>
            </w:r>
          </w:p>
        </w:tc>
        <w:tc>
          <w:tcPr>
            <w:tcW w:w="794" w:type="dxa"/>
          </w:tcPr>
          <w:p>
            <w:pPr>
              <w:pStyle w:val="0"/>
            </w:pPr>
            <w:r>
              <w:rPr>
                <w:sz w:val="20"/>
              </w:rPr>
              <w:t xml:space="preserve">530</w:t>
            </w:r>
          </w:p>
        </w:tc>
        <w:tc>
          <w:tcPr>
            <w:tcW w:w="794" w:type="dxa"/>
          </w:tcPr>
          <w:p>
            <w:pPr>
              <w:pStyle w:val="0"/>
            </w:pPr>
            <w:r>
              <w:rPr>
                <w:sz w:val="20"/>
              </w:rPr>
              <w:t xml:space="preserve">540</w:t>
            </w:r>
          </w:p>
        </w:tc>
        <w:tc>
          <w:tcPr>
            <w:tcW w:w="794" w:type="dxa"/>
          </w:tcPr>
          <w:p>
            <w:pPr>
              <w:pStyle w:val="0"/>
            </w:pPr>
            <w:r>
              <w:rPr>
                <w:sz w:val="20"/>
              </w:rPr>
              <w:t xml:space="preserve">550</w:t>
            </w:r>
          </w:p>
        </w:tc>
        <w:tc>
          <w:tcPr>
            <w:tcW w:w="1020" w:type="dxa"/>
          </w:tcPr>
          <w:p>
            <w:pPr>
              <w:pStyle w:val="0"/>
            </w:pPr>
            <w:r>
              <w:rPr>
                <w:sz w:val="20"/>
              </w:rPr>
              <w:t xml:space="preserve">3150</w:t>
            </w:r>
          </w:p>
        </w:tc>
      </w:tr>
      <w:tr>
        <w:tc>
          <w:tcPr>
            <w:tcW w:w="704" w:type="dxa"/>
          </w:tcPr>
          <w:p>
            <w:pPr>
              <w:pStyle w:val="0"/>
            </w:pPr>
            <w:r>
              <w:rPr>
                <w:sz w:val="20"/>
              </w:rPr>
              <w:t xml:space="preserve">1.2</w:t>
            </w:r>
          </w:p>
        </w:tc>
        <w:tc>
          <w:tcPr>
            <w:tcW w:w="3402" w:type="dxa"/>
          </w:tcPr>
          <w:p>
            <w:pPr>
              <w:pStyle w:val="0"/>
            </w:pPr>
            <w:r>
              <w:rPr>
                <w:sz w:val="20"/>
              </w:rPr>
              <w:t xml:space="preserve">Доля участников Государственной программы, получивших компенсацию расходов по найму жилья от числа обратившихся участников Государственной программы</w:t>
            </w:r>
          </w:p>
        </w:tc>
        <w:tc>
          <w:tcPr>
            <w:tcW w:w="761" w:type="dxa"/>
          </w:tcPr>
          <w:p>
            <w:pPr>
              <w:pStyle w:val="0"/>
            </w:pPr>
            <w:r>
              <w:rPr>
                <w:sz w:val="20"/>
              </w:rPr>
              <w:t xml:space="preserve">%</w:t>
            </w:r>
          </w:p>
        </w:tc>
        <w:tc>
          <w:tcPr>
            <w:tcW w:w="793" w:type="dxa"/>
          </w:tcPr>
          <w:p>
            <w:pPr>
              <w:pStyle w:val="0"/>
            </w:pPr>
            <w:r>
              <w:rPr>
                <w:sz w:val="20"/>
              </w:rPr>
              <w:t xml:space="preserve">98</w:t>
            </w:r>
          </w:p>
        </w:tc>
        <w:tc>
          <w:tcPr>
            <w:tcW w:w="851" w:type="dxa"/>
          </w:tcPr>
          <w:p>
            <w:pPr>
              <w:pStyle w:val="0"/>
            </w:pPr>
            <w:r>
              <w:rPr>
                <w:sz w:val="20"/>
              </w:rPr>
              <w:t xml:space="preserve">95</w:t>
            </w:r>
          </w:p>
        </w:tc>
        <w:tc>
          <w:tcPr>
            <w:tcW w:w="850" w:type="dxa"/>
          </w:tcPr>
          <w:p>
            <w:pPr>
              <w:pStyle w:val="0"/>
            </w:pPr>
            <w:r>
              <w:rPr>
                <w:sz w:val="20"/>
              </w:rPr>
              <w:t xml:space="preserve">95</w:t>
            </w:r>
          </w:p>
        </w:tc>
        <w:tc>
          <w:tcPr>
            <w:tcW w:w="850" w:type="dxa"/>
          </w:tcPr>
          <w:p>
            <w:pPr>
              <w:pStyle w:val="0"/>
            </w:pPr>
            <w:r>
              <w:rPr>
                <w:sz w:val="20"/>
              </w:rPr>
              <w:t xml:space="preserve">95</w:t>
            </w:r>
          </w:p>
        </w:tc>
        <w:tc>
          <w:tcPr>
            <w:tcW w:w="850" w:type="dxa"/>
          </w:tcPr>
          <w:p>
            <w:pPr>
              <w:pStyle w:val="0"/>
            </w:pPr>
            <w:r>
              <w:rPr>
                <w:sz w:val="20"/>
              </w:rPr>
              <w:t xml:space="preserve">95</w:t>
            </w:r>
          </w:p>
        </w:tc>
        <w:tc>
          <w:tcPr>
            <w:tcW w:w="850" w:type="dxa"/>
          </w:tcPr>
          <w:p>
            <w:pPr>
              <w:pStyle w:val="0"/>
            </w:pPr>
            <w:r>
              <w:rPr>
                <w:sz w:val="20"/>
              </w:rPr>
              <w:t xml:space="preserve">95</w:t>
            </w:r>
          </w:p>
        </w:tc>
        <w:tc>
          <w:tcPr>
            <w:tcW w:w="794" w:type="dxa"/>
          </w:tcPr>
          <w:p>
            <w:pPr>
              <w:pStyle w:val="0"/>
            </w:pPr>
            <w:r>
              <w:rPr>
                <w:sz w:val="20"/>
              </w:rPr>
              <w:t xml:space="preserve">95</w:t>
            </w:r>
          </w:p>
        </w:tc>
        <w:tc>
          <w:tcPr>
            <w:tcW w:w="794" w:type="dxa"/>
          </w:tcPr>
          <w:p>
            <w:pPr>
              <w:pStyle w:val="0"/>
            </w:pPr>
            <w:r>
              <w:rPr>
                <w:sz w:val="20"/>
              </w:rPr>
              <w:t xml:space="preserve">95</w:t>
            </w:r>
          </w:p>
        </w:tc>
        <w:tc>
          <w:tcPr>
            <w:tcW w:w="794" w:type="dxa"/>
          </w:tcPr>
          <w:p>
            <w:pPr>
              <w:pStyle w:val="0"/>
            </w:pPr>
            <w:r>
              <w:rPr>
                <w:sz w:val="20"/>
              </w:rPr>
              <w:t xml:space="preserve">95</w:t>
            </w:r>
          </w:p>
        </w:tc>
        <w:tc>
          <w:tcPr>
            <w:tcW w:w="1020" w:type="dxa"/>
          </w:tcPr>
          <w:p>
            <w:pPr>
              <w:pStyle w:val="0"/>
            </w:pPr>
            <w:r>
              <w:rPr>
                <w:sz w:val="20"/>
              </w:rPr>
              <w:t xml:space="preserve">95</w:t>
            </w:r>
          </w:p>
        </w:tc>
      </w:tr>
      <w:tr>
        <w:tc>
          <w:tcPr>
            <w:gridSpan w:val="13"/>
            <w:tcW w:w="13313" w:type="dxa"/>
          </w:tcPr>
          <w:p>
            <w:pPr>
              <w:pStyle w:val="0"/>
            </w:pPr>
            <w:r>
              <w:rPr>
                <w:sz w:val="20"/>
              </w:rPr>
              <w:t xml:space="preserve">Задача 2: Содействие обеспечению потребности экономики автономного округа в квалифицированных кадрах</w:t>
            </w:r>
          </w:p>
        </w:tc>
      </w:tr>
      <w:tr>
        <w:tc>
          <w:tcPr>
            <w:tcW w:w="704" w:type="dxa"/>
          </w:tcPr>
          <w:p>
            <w:pPr>
              <w:pStyle w:val="0"/>
            </w:pPr>
            <w:r>
              <w:rPr>
                <w:sz w:val="20"/>
              </w:rPr>
              <w:t xml:space="preserve">2.1</w:t>
            </w:r>
          </w:p>
        </w:tc>
        <w:tc>
          <w:tcPr>
            <w:tcW w:w="3402" w:type="dxa"/>
          </w:tcPr>
          <w:p>
            <w:pPr>
              <w:pStyle w:val="0"/>
            </w:pPr>
            <w:r>
              <w:rPr>
                <w:sz w:val="20"/>
              </w:rPr>
              <w:t xml:space="preserve">Доля участников Государственной программы, занятых трудовой деятельностью, включая открывших собственное дело, от числа прибывших и зарегистрированных Управлением Министерства внутренних дел Российской Федерации по автономному округу участников Государственной программы на конец отчетного года</w:t>
            </w:r>
          </w:p>
        </w:tc>
        <w:tc>
          <w:tcPr>
            <w:tcW w:w="761" w:type="dxa"/>
          </w:tcPr>
          <w:p>
            <w:pPr>
              <w:pStyle w:val="0"/>
            </w:pPr>
            <w:r>
              <w:rPr>
                <w:sz w:val="20"/>
              </w:rPr>
              <w:t xml:space="preserve">%</w:t>
            </w:r>
          </w:p>
        </w:tc>
        <w:tc>
          <w:tcPr>
            <w:tcW w:w="793" w:type="dxa"/>
          </w:tcPr>
          <w:p>
            <w:pPr>
              <w:pStyle w:val="0"/>
            </w:pPr>
            <w:r>
              <w:rPr>
                <w:sz w:val="20"/>
              </w:rPr>
              <w:t xml:space="preserve">94,1</w:t>
            </w:r>
          </w:p>
        </w:tc>
        <w:tc>
          <w:tcPr>
            <w:tcW w:w="851" w:type="dxa"/>
          </w:tcPr>
          <w:p>
            <w:pPr>
              <w:pStyle w:val="0"/>
            </w:pPr>
            <w:r>
              <w:rPr>
                <w:sz w:val="20"/>
              </w:rPr>
              <w:t xml:space="preserve">91</w:t>
            </w:r>
          </w:p>
        </w:tc>
        <w:tc>
          <w:tcPr>
            <w:tcW w:w="850" w:type="dxa"/>
          </w:tcPr>
          <w:p>
            <w:pPr>
              <w:pStyle w:val="0"/>
            </w:pPr>
            <w:r>
              <w:rPr>
                <w:sz w:val="20"/>
              </w:rPr>
              <w:t xml:space="preserve">80</w:t>
            </w:r>
          </w:p>
        </w:tc>
        <w:tc>
          <w:tcPr>
            <w:tcW w:w="850" w:type="dxa"/>
          </w:tcPr>
          <w:p>
            <w:pPr>
              <w:pStyle w:val="0"/>
            </w:pPr>
            <w:r>
              <w:rPr>
                <w:sz w:val="20"/>
              </w:rPr>
              <w:t xml:space="preserve">не менее 80</w:t>
            </w:r>
          </w:p>
        </w:tc>
        <w:tc>
          <w:tcPr>
            <w:tcW w:w="850" w:type="dxa"/>
          </w:tcPr>
          <w:p>
            <w:pPr>
              <w:pStyle w:val="0"/>
            </w:pPr>
            <w:r>
              <w:rPr>
                <w:sz w:val="20"/>
              </w:rPr>
              <w:t xml:space="preserve">не менее 80</w:t>
            </w:r>
          </w:p>
        </w:tc>
        <w:tc>
          <w:tcPr>
            <w:tcW w:w="850" w:type="dxa"/>
          </w:tcPr>
          <w:p>
            <w:pPr>
              <w:pStyle w:val="0"/>
            </w:pPr>
            <w:r>
              <w:rPr>
                <w:sz w:val="20"/>
              </w:rPr>
              <w:t xml:space="preserve">не менее 80</w:t>
            </w:r>
          </w:p>
        </w:tc>
        <w:tc>
          <w:tcPr>
            <w:tcW w:w="794" w:type="dxa"/>
          </w:tcPr>
          <w:p>
            <w:pPr>
              <w:pStyle w:val="0"/>
            </w:pPr>
            <w:r>
              <w:rPr>
                <w:sz w:val="20"/>
              </w:rPr>
              <w:t xml:space="preserve">не менее 80</w:t>
            </w:r>
          </w:p>
        </w:tc>
        <w:tc>
          <w:tcPr>
            <w:tcW w:w="794" w:type="dxa"/>
          </w:tcPr>
          <w:p>
            <w:pPr>
              <w:pStyle w:val="0"/>
            </w:pPr>
            <w:r>
              <w:rPr>
                <w:sz w:val="20"/>
              </w:rPr>
              <w:t xml:space="preserve">не менее 80</w:t>
            </w:r>
          </w:p>
        </w:tc>
        <w:tc>
          <w:tcPr>
            <w:tcW w:w="794" w:type="dxa"/>
          </w:tcPr>
          <w:p>
            <w:pPr>
              <w:pStyle w:val="0"/>
            </w:pPr>
            <w:r>
              <w:rPr>
                <w:sz w:val="20"/>
              </w:rPr>
              <w:t xml:space="preserve">не менее 80</w:t>
            </w:r>
          </w:p>
        </w:tc>
        <w:tc>
          <w:tcPr>
            <w:tcW w:w="1020" w:type="dxa"/>
          </w:tcPr>
          <w:p>
            <w:pPr>
              <w:pStyle w:val="0"/>
            </w:pPr>
            <w:r>
              <w:rPr>
                <w:sz w:val="20"/>
              </w:rPr>
              <w:t xml:space="preserve">не менее 80</w:t>
            </w:r>
          </w:p>
        </w:tc>
      </w:tr>
      <w:tr>
        <w:tc>
          <w:tcPr>
            <w:tcW w:w="704" w:type="dxa"/>
          </w:tcPr>
          <w:p>
            <w:pPr>
              <w:pStyle w:val="0"/>
            </w:pPr>
            <w:r>
              <w:rPr>
                <w:sz w:val="20"/>
              </w:rPr>
              <w:t xml:space="preserve">2.2</w:t>
            </w:r>
          </w:p>
        </w:tc>
        <w:tc>
          <w:tcPr>
            <w:tcW w:w="3402" w:type="dxa"/>
          </w:tcPr>
          <w:p>
            <w:pPr>
              <w:pStyle w:val="0"/>
            </w:pPr>
            <w:r>
              <w:rPr>
                <w:sz w:val="20"/>
              </w:rPr>
              <w:t xml:space="preserve">Доля трудоустроенных трудоспособных членов семей участников Государственной программы от общего числа переселившихся членов семей участников Государственной программы на конец отчетного года</w:t>
            </w:r>
          </w:p>
        </w:tc>
        <w:tc>
          <w:tcPr>
            <w:tcW w:w="761" w:type="dxa"/>
          </w:tcPr>
          <w:p>
            <w:pPr>
              <w:pStyle w:val="0"/>
            </w:pPr>
            <w:r>
              <w:rPr>
                <w:sz w:val="20"/>
              </w:rPr>
              <w:t xml:space="preserve">%</w:t>
            </w:r>
          </w:p>
        </w:tc>
        <w:tc>
          <w:tcPr>
            <w:tcW w:w="793" w:type="dxa"/>
          </w:tcPr>
          <w:p>
            <w:pPr>
              <w:pStyle w:val="0"/>
            </w:pPr>
            <w:r>
              <w:rPr>
                <w:sz w:val="20"/>
              </w:rPr>
              <w:t xml:space="preserve">64,7</w:t>
            </w:r>
          </w:p>
        </w:tc>
        <w:tc>
          <w:tcPr>
            <w:tcW w:w="851" w:type="dxa"/>
          </w:tcPr>
          <w:p>
            <w:pPr>
              <w:pStyle w:val="0"/>
            </w:pPr>
            <w:r>
              <w:rPr>
                <w:sz w:val="20"/>
              </w:rPr>
              <w:t xml:space="preserve">84,5</w:t>
            </w:r>
          </w:p>
        </w:tc>
        <w:tc>
          <w:tcPr>
            <w:tcW w:w="850" w:type="dxa"/>
          </w:tcPr>
          <w:p>
            <w:pPr>
              <w:pStyle w:val="0"/>
            </w:pPr>
            <w:r>
              <w:rPr>
                <w:sz w:val="20"/>
              </w:rPr>
              <w:t xml:space="preserve">60</w:t>
            </w:r>
          </w:p>
        </w:tc>
        <w:tc>
          <w:tcPr>
            <w:tcW w:w="850" w:type="dxa"/>
          </w:tcPr>
          <w:p>
            <w:pPr>
              <w:pStyle w:val="0"/>
            </w:pPr>
            <w:r>
              <w:rPr>
                <w:sz w:val="20"/>
              </w:rPr>
              <w:t xml:space="preserve">не менее 60</w:t>
            </w:r>
          </w:p>
        </w:tc>
        <w:tc>
          <w:tcPr>
            <w:tcW w:w="850" w:type="dxa"/>
          </w:tcPr>
          <w:p>
            <w:pPr>
              <w:pStyle w:val="0"/>
            </w:pPr>
            <w:r>
              <w:rPr>
                <w:sz w:val="20"/>
              </w:rPr>
              <w:t xml:space="preserve">не менее 60</w:t>
            </w:r>
          </w:p>
        </w:tc>
        <w:tc>
          <w:tcPr>
            <w:tcW w:w="850" w:type="dxa"/>
          </w:tcPr>
          <w:p>
            <w:pPr>
              <w:pStyle w:val="0"/>
            </w:pPr>
            <w:r>
              <w:rPr>
                <w:sz w:val="20"/>
              </w:rPr>
              <w:t xml:space="preserve">не менее 60</w:t>
            </w:r>
          </w:p>
        </w:tc>
        <w:tc>
          <w:tcPr>
            <w:tcW w:w="794" w:type="dxa"/>
          </w:tcPr>
          <w:p>
            <w:pPr>
              <w:pStyle w:val="0"/>
            </w:pPr>
            <w:r>
              <w:rPr>
                <w:sz w:val="20"/>
              </w:rPr>
              <w:t xml:space="preserve">не менее 60</w:t>
            </w:r>
          </w:p>
        </w:tc>
        <w:tc>
          <w:tcPr>
            <w:tcW w:w="794" w:type="dxa"/>
          </w:tcPr>
          <w:p>
            <w:pPr>
              <w:pStyle w:val="0"/>
            </w:pPr>
            <w:r>
              <w:rPr>
                <w:sz w:val="20"/>
              </w:rPr>
              <w:t xml:space="preserve">не менее 60</w:t>
            </w:r>
          </w:p>
        </w:tc>
        <w:tc>
          <w:tcPr>
            <w:tcW w:w="794" w:type="dxa"/>
          </w:tcPr>
          <w:p>
            <w:pPr>
              <w:pStyle w:val="0"/>
            </w:pPr>
            <w:r>
              <w:rPr>
                <w:sz w:val="20"/>
              </w:rPr>
              <w:t xml:space="preserve">не менее 60</w:t>
            </w:r>
          </w:p>
        </w:tc>
        <w:tc>
          <w:tcPr>
            <w:tcW w:w="1020" w:type="dxa"/>
          </w:tcPr>
          <w:p>
            <w:pPr>
              <w:pStyle w:val="0"/>
            </w:pPr>
            <w:r>
              <w:rPr>
                <w:sz w:val="20"/>
              </w:rPr>
              <w:t xml:space="preserve">не менее 60</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2</w:t>
      </w:r>
    </w:p>
    <w:p>
      <w:pPr>
        <w:pStyle w:val="0"/>
        <w:jc w:val="both"/>
      </w:pPr>
      <w:r>
        <w:rPr>
          <w:sz w:val="20"/>
        </w:rPr>
      </w:r>
    </w:p>
    <w:bookmarkStart w:id="598" w:name="P598"/>
    <w:bookmarkEnd w:id="598"/>
    <w:p>
      <w:pPr>
        <w:pStyle w:val="2"/>
        <w:jc w:val="center"/>
      </w:pPr>
      <w:r>
        <w:rPr>
          <w:sz w:val="20"/>
        </w:rPr>
        <w:t xml:space="preserve">Перечень основных мероприятий Подпрограммы, ожидаемые</w:t>
      </w:r>
    </w:p>
    <w:p>
      <w:pPr>
        <w:pStyle w:val="2"/>
        <w:jc w:val="center"/>
      </w:pPr>
      <w:r>
        <w:rPr>
          <w:sz w:val="20"/>
        </w:rPr>
        <w:t xml:space="preserve">результаты и риски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3118"/>
        <w:gridCol w:w="2211"/>
        <w:gridCol w:w="1191"/>
        <w:gridCol w:w="1134"/>
        <w:gridCol w:w="2410"/>
        <w:gridCol w:w="2126"/>
      </w:tblGrid>
      <w:tr>
        <w:tc>
          <w:tcPr>
            <w:tcW w:w="704"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Основные мероприятия Подпрограммы</w:t>
            </w:r>
          </w:p>
        </w:tc>
        <w:tc>
          <w:tcPr>
            <w:tcW w:w="2211" w:type="dxa"/>
            <w:vMerge w:val="restart"/>
          </w:tcPr>
          <w:p>
            <w:pPr>
              <w:pStyle w:val="0"/>
              <w:jc w:val="center"/>
            </w:pPr>
            <w:r>
              <w:rPr>
                <w:sz w:val="20"/>
              </w:rPr>
              <w:t xml:space="preserve">Ответственный исполнитель/соисполнитель</w:t>
            </w:r>
          </w:p>
        </w:tc>
        <w:tc>
          <w:tcPr>
            <w:gridSpan w:val="2"/>
            <w:tcW w:w="2325" w:type="dxa"/>
          </w:tcPr>
          <w:p>
            <w:pPr>
              <w:pStyle w:val="0"/>
              <w:jc w:val="center"/>
            </w:pPr>
            <w:r>
              <w:rPr>
                <w:sz w:val="20"/>
              </w:rPr>
              <w:t xml:space="preserve">Срок</w:t>
            </w:r>
          </w:p>
        </w:tc>
        <w:tc>
          <w:tcPr>
            <w:tcW w:w="2410" w:type="dxa"/>
            <w:vMerge w:val="restart"/>
          </w:tcPr>
          <w:p>
            <w:pPr>
              <w:pStyle w:val="0"/>
              <w:jc w:val="center"/>
            </w:pPr>
            <w:r>
              <w:rPr>
                <w:sz w:val="20"/>
              </w:rPr>
              <w:t xml:space="preserve">Ожидаемые результаты</w:t>
            </w:r>
          </w:p>
        </w:tc>
        <w:tc>
          <w:tcPr>
            <w:tcW w:w="2126" w:type="dxa"/>
            <w:vMerge w:val="restart"/>
          </w:tcPr>
          <w:p>
            <w:pPr>
              <w:pStyle w:val="0"/>
              <w:jc w:val="center"/>
            </w:pPr>
            <w:r>
              <w:rPr>
                <w:sz w:val="20"/>
              </w:rPr>
              <w:t xml:space="preserve">Риск неисполнения</w:t>
            </w:r>
          </w:p>
        </w:tc>
      </w:tr>
      <w:tr>
        <w:tc>
          <w:tcPr>
            <w:vMerge w:val="continue"/>
          </w:tcPr>
          <w:p/>
        </w:tc>
        <w:tc>
          <w:tcPr>
            <w:vMerge w:val="continue"/>
          </w:tcPr>
          <w:p/>
        </w:tc>
        <w:tc>
          <w:tcPr>
            <w:vMerge w:val="continue"/>
          </w:tcPr>
          <w:p/>
        </w:tc>
        <w:tc>
          <w:tcPr>
            <w:tcW w:w="1191" w:type="dxa"/>
          </w:tcPr>
          <w:p>
            <w:pPr>
              <w:pStyle w:val="0"/>
              <w:jc w:val="center"/>
            </w:pPr>
            <w:r>
              <w:rPr>
                <w:sz w:val="20"/>
              </w:rPr>
              <w:t xml:space="preserve">Начала реализации</w:t>
            </w:r>
          </w:p>
        </w:tc>
        <w:tc>
          <w:tcPr>
            <w:tcW w:w="1134" w:type="dxa"/>
          </w:tcPr>
          <w:p>
            <w:pPr>
              <w:pStyle w:val="0"/>
              <w:jc w:val="center"/>
            </w:pPr>
            <w:r>
              <w:rPr>
                <w:sz w:val="20"/>
              </w:rPr>
              <w:t xml:space="preserve">Окончания реализации</w:t>
            </w:r>
          </w:p>
        </w:tc>
        <w:tc>
          <w:tcPr>
            <w:vMerge w:val="continue"/>
          </w:tcPr>
          <w:p/>
        </w:tc>
        <w:tc>
          <w:tcPr>
            <w:vMerge w:val="continue"/>
          </w:tcPr>
          <w:p/>
        </w:tc>
      </w:tr>
      <w:tr>
        <w:tc>
          <w:tcPr>
            <w:tcW w:w="704" w:type="dxa"/>
          </w:tcPr>
          <w:p>
            <w:pPr>
              <w:pStyle w:val="0"/>
              <w:jc w:val="center"/>
            </w:pPr>
            <w:r>
              <w:rPr>
                <w:sz w:val="20"/>
              </w:rPr>
              <w:t xml:space="preserve">1</w:t>
            </w:r>
          </w:p>
        </w:tc>
        <w:tc>
          <w:tcPr>
            <w:tcW w:w="3118" w:type="dxa"/>
          </w:tcPr>
          <w:p>
            <w:pPr>
              <w:pStyle w:val="0"/>
              <w:jc w:val="center"/>
            </w:pPr>
            <w:r>
              <w:rPr>
                <w:sz w:val="20"/>
              </w:rPr>
              <w:t xml:space="preserve">2</w:t>
            </w:r>
          </w:p>
        </w:tc>
        <w:tc>
          <w:tcPr>
            <w:tcW w:w="2211" w:type="dxa"/>
          </w:tcPr>
          <w:p>
            <w:pPr>
              <w:pStyle w:val="0"/>
              <w:jc w:val="center"/>
            </w:pPr>
            <w:r>
              <w:rPr>
                <w:sz w:val="20"/>
              </w:rPr>
              <w:t xml:space="preserve">3</w:t>
            </w:r>
          </w:p>
        </w:tc>
        <w:tc>
          <w:tcPr>
            <w:tcW w:w="1191" w:type="dxa"/>
          </w:tcPr>
          <w:p>
            <w:pPr>
              <w:pStyle w:val="0"/>
              <w:jc w:val="center"/>
            </w:pPr>
            <w:r>
              <w:rPr>
                <w:sz w:val="20"/>
              </w:rPr>
              <w:t xml:space="preserve">4</w:t>
            </w:r>
          </w:p>
        </w:tc>
        <w:tc>
          <w:tcPr>
            <w:tcW w:w="1134" w:type="dxa"/>
          </w:tcPr>
          <w:p>
            <w:pPr>
              <w:pStyle w:val="0"/>
              <w:jc w:val="center"/>
            </w:pPr>
            <w:r>
              <w:rPr>
                <w:sz w:val="20"/>
              </w:rPr>
              <w:t xml:space="preserve">5</w:t>
            </w:r>
          </w:p>
        </w:tc>
        <w:tc>
          <w:tcPr>
            <w:tcW w:w="2410" w:type="dxa"/>
          </w:tcPr>
          <w:p>
            <w:pPr>
              <w:pStyle w:val="0"/>
              <w:jc w:val="center"/>
            </w:pPr>
            <w:r>
              <w:rPr>
                <w:sz w:val="20"/>
              </w:rPr>
              <w:t xml:space="preserve">6</w:t>
            </w:r>
          </w:p>
        </w:tc>
        <w:tc>
          <w:tcPr>
            <w:tcW w:w="2126" w:type="dxa"/>
          </w:tcPr>
          <w:p>
            <w:pPr>
              <w:pStyle w:val="0"/>
              <w:jc w:val="center"/>
            </w:pPr>
            <w:r>
              <w:rPr>
                <w:sz w:val="20"/>
              </w:rPr>
              <w:t xml:space="preserve">7</w:t>
            </w:r>
          </w:p>
        </w:tc>
      </w:tr>
      <w:tr>
        <w:tblPrEx>
          <w:tblBorders>
            <w:insideH w:val="nil"/>
          </w:tblBorders>
        </w:tblPrEx>
        <w:tc>
          <w:tcPr>
            <w:tcW w:w="704" w:type="dxa"/>
            <w:tcBorders>
              <w:bottom w:val="nil"/>
            </w:tcBorders>
          </w:tcPr>
          <w:p>
            <w:pPr>
              <w:pStyle w:val="0"/>
            </w:pPr>
            <w:r>
              <w:rPr>
                <w:sz w:val="20"/>
              </w:rPr>
              <w:t xml:space="preserve">1.</w:t>
            </w:r>
          </w:p>
        </w:tc>
        <w:tc>
          <w:tcPr>
            <w:tcW w:w="3118" w:type="dxa"/>
            <w:tcBorders>
              <w:bottom w:val="nil"/>
            </w:tcBorders>
          </w:tcPr>
          <w:p>
            <w:pPr>
              <w:pStyle w:val="0"/>
            </w:pPr>
            <w:r>
              <w:rPr>
                <w:sz w:val="20"/>
              </w:rPr>
              <w:t xml:space="preserve">Информационное обеспечение реализации Подпрограммы</w:t>
            </w:r>
          </w:p>
        </w:tc>
        <w:tc>
          <w:tcPr>
            <w:tcW w:w="2211" w:type="dxa"/>
            <w:tcBorders>
              <w:bottom w:val="nil"/>
            </w:tcBorders>
          </w:tcPr>
          <w:p>
            <w:pPr>
              <w:pStyle w:val="0"/>
            </w:pPr>
            <w:r>
              <w:rPr>
                <w:sz w:val="20"/>
              </w:rPr>
              <w:t xml:space="preserve">Уполномоченный орган Югры; Департамент общественных, внешних связей и молодежи Югры; Депобразования и науки Югры; Депсоцразвития Югры</w:t>
            </w:r>
          </w:p>
        </w:tc>
        <w:tc>
          <w:tcPr>
            <w:tcW w:w="1191" w:type="dxa"/>
            <w:tcBorders>
              <w:bottom w:val="nil"/>
            </w:tcBorders>
          </w:tcPr>
          <w:p>
            <w:pPr>
              <w:pStyle w:val="0"/>
            </w:pPr>
            <w:r>
              <w:rPr>
                <w:sz w:val="20"/>
              </w:rPr>
              <w:t xml:space="preserve">2022</w:t>
            </w:r>
          </w:p>
        </w:tc>
        <w:tc>
          <w:tcPr>
            <w:tcW w:w="1134" w:type="dxa"/>
            <w:tcBorders>
              <w:bottom w:val="nil"/>
            </w:tcBorders>
          </w:tcPr>
          <w:p>
            <w:pPr>
              <w:pStyle w:val="0"/>
            </w:pPr>
            <w:r>
              <w:rPr>
                <w:sz w:val="20"/>
              </w:rPr>
              <w:t xml:space="preserve">2025</w:t>
            </w:r>
          </w:p>
        </w:tc>
        <w:tc>
          <w:tcPr>
            <w:tcW w:w="2410" w:type="dxa"/>
            <w:tcBorders>
              <w:bottom w:val="nil"/>
            </w:tcBorders>
          </w:tcPr>
          <w:p>
            <w:pPr>
              <w:pStyle w:val="0"/>
            </w:pPr>
            <w:r>
              <w:rPr>
                <w:sz w:val="20"/>
              </w:rPr>
              <w:t xml:space="preserve">наибольшее число соотечественников, охваченных информированием о реализации Подпрограммы</w:t>
            </w:r>
          </w:p>
        </w:tc>
        <w:tc>
          <w:tcPr>
            <w:tcW w:w="2126" w:type="dxa"/>
            <w:tcBorders>
              <w:bottom w:val="nil"/>
            </w:tcBorders>
          </w:tcPr>
          <w:p>
            <w:pPr>
              <w:pStyle w:val="0"/>
            </w:pPr>
            <w:r>
              <w:rPr>
                <w:sz w:val="20"/>
              </w:rPr>
              <w:t xml:space="preserve">низкая информированность, недостижение целевых показателей Подпрограммы</w:t>
            </w:r>
          </w:p>
        </w:tc>
      </w:tr>
      <w:tr>
        <w:tblPrEx>
          <w:tblBorders>
            <w:insideH w:val="nil"/>
          </w:tblBorders>
        </w:tblPrEx>
        <w:tc>
          <w:tcPr>
            <w:gridSpan w:val="7"/>
            <w:tcW w:w="12894" w:type="dxa"/>
            <w:tcBorders>
              <w:top w:val="nil"/>
            </w:tcBorders>
          </w:tcPr>
          <w:p>
            <w:pPr>
              <w:pStyle w:val="0"/>
              <w:jc w:val="both"/>
            </w:pPr>
            <w:r>
              <w:rPr>
                <w:sz w:val="20"/>
              </w:rPr>
              <w:t xml:space="preserve">(в ред. </w:t>
            </w:r>
            <w:hyperlink w:history="0" r:id="rId8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blPrEx>
          <w:tblBorders>
            <w:insideH w:val="nil"/>
          </w:tblBorders>
        </w:tblPrEx>
        <w:tc>
          <w:tcPr>
            <w:tcW w:w="704" w:type="dxa"/>
            <w:tcBorders>
              <w:bottom w:val="nil"/>
            </w:tcBorders>
          </w:tcPr>
          <w:p>
            <w:pPr>
              <w:pStyle w:val="0"/>
            </w:pPr>
            <w:r>
              <w:rPr>
                <w:sz w:val="20"/>
              </w:rPr>
              <w:t xml:space="preserve">1.1.</w:t>
            </w:r>
          </w:p>
        </w:tc>
        <w:tc>
          <w:tcPr>
            <w:tcW w:w="3118" w:type="dxa"/>
            <w:tcBorders>
              <w:bottom w:val="nil"/>
            </w:tcBorders>
          </w:tcPr>
          <w:p>
            <w:pPr>
              <w:pStyle w:val="0"/>
            </w:pPr>
            <w:r>
              <w:rPr>
                <w:sz w:val="20"/>
              </w:rPr>
              <w:t xml:space="preserve">Организация и проведение информационной кампании (производство и размещение материалов в средствах массовой информации, на интернет-ресурсах, проведение встреч с некоммерческими организациями, пресс-конференций), направленных на информирование участников Государственной программы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об условиях участия в Подпрограмме</w:t>
            </w:r>
          </w:p>
        </w:tc>
        <w:tc>
          <w:tcPr>
            <w:tcW w:w="2211" w:type="dxa"/>
            <w:tcBorders>
              <w:bottom w:val="nil"/>
            </w:tcBorders>
          </w:tcPr>
          <w:p>
            <w:pPr>
              <w:pStyle w:val="0"/>
            </w:pPr>
            <w:r>
              <w:rPr>
                <w:sz w:val="20"/>
              </w:rPr>
              <w:t xml:space="preserve">Департамент общественных, внешних связей и молодежи Югры</w:t>
            </w:r>
          </w:p>
        </w:tc>
        <w:tc>
          <w:tcPr>
            <w:tcW w:w="1191" w:type="dxa"/>
            <w:tcBorders>
              <w:bottom w:val="nil"/>
            </w:tcBorders>
          </w:tcPr>
          <w:p>
            <w:pPr>
              <w:pStyle w:val="0"/>
            </w:pPr>
            <w:r>
              <w:rPr>
                <w:sz w:val="20"/>
              </w:rPr>
              <w:t xml:space="preserve">2022</w:t>
            </w:r>
          </w:p>
        </w:tc>
        <w:tc>
          <w:tcPr>
            <w:tcW w:w="1134" w:type="dxa"/>
            <w:tcBorders>
              <w:bottom w:val="nil"/>
            </w:tcBorders>
          </w:tcPr>
          <w:p>
            <w:pPr>
              <w:pStyle w:val="0"/>
            </w:pPr>
            <w:r>
              <w:rPr>
                <w:sz w:val="20"/>
              </w:rPr>
              <w:t xml:space="preserve">2025</w:t>
            </w:r>
          </w:p>
        </w:tc>
        <w:tc>
          <w:tcPr>
            <w:tcW w:w="2410" w:type="dxa"/>
            <w:tcBorders>
              <w:bottom w:val="nil"/>
            </w:tcBorders>
          </w:tcPr>
          <w:p>
            <w:pPr>
              <w:pStyle w:val="0"/>
            </w:pPr>
            <w:r>
              <w:rPr>
                <w:sz w:val="20"/>
              </w:rPr>
              <w:t xml:space="preserve">повышение информированности потенциальных участников Государственной программы об условиях участия в Подпрограмме и участников Государственной программы о возможностях Подпрограммы с целью их адаптации и интеграции в обществе</w:t>
            </w:r>
          </w:p>
        </w:tc>
        <w:tc>
          <w:tcPr>
            <w:tcW w:w="2126" w:type="dxa"/>
            <w:tcBorders>
              <w:bottom w:val="nil"/>
            </w:tcBorders>
          </w:tcPr>
          <w:p>
            <w:pPr>
              <w:pStyle w:val="0"/>
            </w:pPr>
            <w:r>
              <w:rPr>
                <w:sz w:val="20"/>
              </w:rPr>
              <w:t xml:space="preserve">низкая информированность, недостижение целевых показателей Подпрограммы</w:t>
            </w:r>
          </w:p>
        </w:tc>
      </w:tr>
      <w:tr>
        <w:tblPrEx>
          <w:tblBorders>
            <w:insideH w:val="nil"/>
          </w:tblBorders>
        </w:tblPrEx>
        <w:tc>
          <w:tcPr>
            <w:gridSpan w:val="7"/>
            <w:tcW w:w="12894" w:type="dxa"/>
            <w:tcBorders>
              <w:top w:val="nil"/>
            </w:tcBorders>
          </w:tcPr>
          <w:p>
            <w:pPr>
              <w:pStyle w:val="0"/>
              <w:jc w:val="both"/>
            </w:pPr>
            <w:r>
              <w:rPr>
                <w:sz w:val="20"/>
              </w:rPr>
              <w:t xml:space="preserve">(в ред. </w:t>
            </w:r>
            <w:hyperlink w:history="0" r:id="rId90"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blPrEx>
          <w:tblBorders>
            <w:insideH w:val="nil"/>
          </w:tblBorders>
        </w:tblPrEx>
        <w:tc>
          <w:tcPr>
            <w:tcW w:w="704" w:type="dxa"/>
            <w:tcBorders>
              <w:bottom w:val="nil"/>
            </w:tcBorders>
          </w:tcPr>
          <w:p>
            <w:pPr>
              <w:pStyle w:val="0"/>
            </w:pPr>
            <w:r>
              <w:rPr>
                <w:sz w:val="20"/>
              </w:rPr>
              <w:t xml:space="preserve">1.2.</w:t>
            </w:r>
          </w:p>
        </w:tc>
        <w:tc>
          <w:tcPr>
            <w:tcW w:w="3118" w:type="dxa"/>
            <w:tcBorders>
              <w:bottom w:val="nil"/>
            </w:tcBorders>
          </w:tcPr>
          <w:p>
            <w:pPr>
              <w:pStyle w:val="0"/>
            </w:pPr>
            <w:r>
              <w:rPr>
                <w:sz w:val="20"/>
              </w:rPr>
              <w:t xml:space="preserve">Организация презентаций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Югры</w:t>
            </w:r>
          </w:p>
        </w:tc>
        <w:tc>
          <w:tcPr>
            <w:tcW w:w="2211" w:type="dxa"/>
            <w:tcBorders>
              <w:bottom w:val="nil"/>
            </w:tcBorders>
          </w:tcPr>
          <w:p>
            <w:pPr>
              <w:pStyle w:val="0"/>
            </w:pPr>
            <w:r>
              <w:rPr>
                <w:sz w:val="20"/>
              </w:rPr>
              <w:t xml:space="preserve">Департамент общественных, внешних связей и молодежи Югры;</w:t>
            </w:r>
          </w:p>
          <w:p>
            <w:pPr>
              <w:pStyle w:val="0"/>
            </w:pPr>
            <w:r>
              <w:rPr>
                <w:sz w:val="20"/>
              </w:rPr>
              <w:t xml:space="preserve">Депобразования и науки Югры</w:t>
            </w:r>
          </w:p>
        </w:tc>
        <w:tc>
          <w:tcPr>
            <w:tcW w:w="1191" w:type="dxa"/>
            <w:tcBorders>
              <w:bottom w:val="nil"/>
            </w:tcBorders>
          </w:tcPr>
          <w:p>
            <w:pPr>
              <w:pStyle w:val="0"/>
            </w:pPr>
            <w:r>
              <w:rPr>
                <w:sz w:val="20"/>
              </w:rPr>
              <w:t xml:space="preserve">2022</w:t>
            </w:r>
          </w:p>
        </w:tc>
        <w:tc>
          <w:tcPr>
            <w:tcW w:w="1134" w:type="dxa"/>
            <w:tcBorders>
              <w:bottom w:val="nil"/>
            </w:tcBorders>
          </w:tcPr>
          <w:p>
            <w:pPr>
              <w:pStyle w:val="0"/>
            </w:pPr>
            <w:r>
              <w:rPr>
                <w:sz w:val="20"/>
              </w:rPr>
              <w:t xml:space="preserve">2025</w:t>
            </w:r>
          </w:p>
        </w:tc>
        <w:tc>
          <w:tcPr>
            <w:tcW w:w="2410" w:type="dxa"/>
            <w:tcBorders>
              <w:bottom w:val="nil"/>
            </w:tcBorders>
          </w:tcPr>
          <w:p>
            <w:pPr>
              <w:pStyle w:val="0"/>
            </w:pPr>
            <w:r>
              <w:rPr>
                <w:sz w:val="20"/>
              </w:rPr>
              <w:t xml:space="preserve">повышение имиджа автономного округа и Российской Федерации среди соотечественников, проживающих за рубежом</w:t>
            </w:r>
          </w:p>
        </w:tc>
        <w:tc>
          <w:tcPr>
            <w:tcW w:w="2126" w:type="dxa"/>
            <w:tcBorders>
              <w:bottom w:val="nil"/>
            </w:tcBorders>
          </w:tcPr>
          <w:p>
            <w:pPr>
              <w:pStyle w:val="0"/>
            </w:pPr>
            <w:r>
              <w:rPr>
                <w:sz w:val="20"/>
              </w:rPr>
              <w:t xml:space="preserve">низкая информированность, недостижение целевых показателей Подпрограммы</w:t>
            </w:r>
          </w:p>
        </w:tc>
      </w:tr>
      <w:tr>
        <w:tblPrEx>
          <w:tblBorders>
            <w:insideH w:val="nil"/>
          </w:tblBorders>
        </w:tblPrEx>
        <w:tc>
          <w:tcPr>
            <w:gridSpan w:val="7"/>
            <w:tcW w:w="12894" w:type="dxa"/>
            <w:tcBorders>
              <w:top w:val="nil"/>
            </w:tcBorders>
          </w:tcPr>
          <w:p>
            <w:pPr>
              <w:pStyle w:val="0"/>
              <w:jc w:val="both"/>
            </w:pPr>
            <w:r>
              <w:rPr>
                <w:sz w:val="20"/>
              </w:rPr>
              <w:t xml:space="preserve">(в ред. </w:t>
            </w:r>
            <w:hyperlink w:history="0" r:id="rId9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blPrEx>
          <w:tblBorders>
            <w:insideH w:val="nil"/>
          </w:tblBorders>
        </w:tblPrEx>
        <w:tc>
          <w:tcPr>
            <w:tcW w:w="704" w:type="dxa"/>
            <w:tcBorders>
              <w:bottom w:val="nil"/>
            </w:tcBorders>
          </w:tcPr>
          <w:p>
            <w:pPr>
              <w:pStyle w:val="0"/>
            </w:pPr>
            <w:r>
              <w:rPr>
                <w:sz w:val="20"/>
              </w:rPr>
              <w:t xml:space="preserve">1.3.</w:t>
            </w:r>
          </w:p>
        </w:tc>
        <w:tc>
          <w:tcPr>
            <w:tcW w:w="3118" w:type="dxa"/>
            <w:tcBorders>
              <w:bottom w:val="nil"/>
            </w:tcBorders>
          </w:tcPr>
          <w:p>
            <w:pPr>
              <w:pStyle w:val="0"/>
            </w:pPr>
            <w:r>
              <w:rPr>
                <w:sz w:val="20"/>
              </w:rPr>
              <w:t xml:space="preserve">Формирование и регулярное обновление информационно-справочных материалов по реализации Подпрограммы на информационном портале АИС "Соотечественники", в средствах массовой информации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адресная и контактная информация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 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образовательных услугах образовательных организаций высшего образования автономного округа</w:t>
            </w:r>
          </w:p>
        </w:tc>
        <w:tc>
          <w:tcPr>
            <w:tcW w:w="2211" w:type="dxa"/>
            <w:tcBorders>
              <w:bottom w:val="nil"/>
            </w:tcBorders>
          </w:tcPr>
          <w:p>
            <w:pPr>
              <w:pStyle w:val="0"/>
            </w:pPr>
            <w:r>
              <w:rPr>
                <w:sz w:val="20"/>
              </w:rPr>
              <w:t xml:space="preserve">Уполномоченный орган Югры; Депобразования и науки Югры; Депсоцразвития Югры; Департамент общественных, внешних связей и молодежи Югры</w:t>
            </w:r>
          </w:p>
        </w:tc>
        <w:tc>
          <w:tcPr>
            <w:tcW w:w="1191" w:type="dxa"/>
            <w:tcBorders>
              <w:bottom w:val="nil"/>
            </w:tcBorders>
          </w:tcPr>
          <w:p>
            <w:pPr>
              <w:pStyle w:val="0"/>
            </w:pPr>
            <w:r>
              <w:rPr>
                <w:sz w:val="20"/>
              </w:rPr>
              <w:t xml:space="preserve">2022</w:t>
            </w:r>
          </w:p>
        </w:tc>
        <w:tc>
          <w:tcPr>
            <w:tcW w:w="1134" w:type="dxa"/>
            <w:tcBorders>
              <w:bottom w:val="nil"/>
            </w:tcBorders>
          </w:tcPr>
          <w:p>
            <w:pPr>
              <w:pStyle w:val="0"/>
            </w:pPr>
            <w:r>
              <w:rPr>
                <w:sz w:val="20"/>
              </w:rPr>
              <w:t xml:space="preserve">2025</w:t>
            </w:r>
          </w:p>
        </w:tc>
        <w:tc>
          <w:tcPr>
            <w:tcW w:w="2410" w:type="dxa"/>
            <w:tcBorders>
              <w:bottom w:val="nil"/>
            </w:tcBorders>
          </w:tcPr>
          <w:p>
            <w:pPr>
              <w:pStyle w:val="0"/>
            </w:pPr>
            <w:r>
              <w:rPr>
                <w:sz w:val="20"/>
              </w:rPr>
              <w:t xml:space="preserve">повышение информированности соотечественников и общественности об условиях участия в Подпрограмме, предоставляемых государственных гарантиях участникам Государственной программы и членам их семей, результатах реализации Подпрограммы</w:t>
            </w:r>
          </w:p>
        </w:tc>
        <w:tc>
          <w:tcPr>
            <w:tcW w:w="2126" w:type="dxa"/>
            <w:tcBorders>
              <w:bottom w:val="nil"/>
            </w:tcBorders>
          </w:tcPr>
          <w:p>
            <w:pPr>
              <w:pStyle w:val="0"/>
            </w:pPr>
            <w:r>
              <w:rPr>
                <w:sz w:val="20"/>
              </w:rPr>
              <w:t xml:space="preserve">низкая информированность, недостижение целевых показателей Подпрограммы</w:t>
            </w:r>
          </w:p>
        </w:tc>
      </w:tr>
      <w:tr>
        <w:tblPrEx>
          <w:tblBorders>
            <w:insideH w:val="nil"/>
          </w:tblBorders>
        </w:tblPrEx>
        <w:tc>
          <w:tcPr>
            <w:gridSpan w:val="7"/>
            <w:tcW w:w="12894" w:type="dxa"/>
            <w:tcBorders>
              <w:top w:val="nil"/>
            </w:tcBorders>
          </w:tcPr>
          <w:p>
            <w:pPr>
              <w:pStyle w:val="0"/>
              <w:jc w:val="both"/>
            </w:pPr>
            <w:r>
              <w:rPr>
                <w:sz w:val="20"/>
              </w:rPr>
              <w:t xml:space="preserve">(в ред. </w:t>
            </w:r>
            <w:hyperlink w:history="0" r:id="rId92"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704" w:type="dxa"/>
          </w:tcPr>
          <w:p>
            <w:pPr>
              <w:pStyle w:val="0"/>
            </w:pPr>
            <w:r>
              <w:rPr>
                <w:sz w:val="20"/>
              </w:rPr>
              <w:t xml:space="preserve">2.</w:t>
            </w:r>
          </w:p>
        </w:tc>
        <w:tc>
          <w:tcPr>
            <w:tcW w:w="3118" w:type="dxa"/>
          </w:tcPr>
          <w:p>
            <w:pPr>
              <w:pStyle w:val="0"/>
            </w:pPr>
            <w:r>
              <w:rPr>
                <w:sz w:val="20"/>
              </w:rPr>
              <w:t xml:space="preserve">Организация консультаций для участников Государственной программы и членов их семей по вопросам реализации Подпрограммы, жилищному обустройству, предоставлению услуг государственных и муниципальных дошкольных образовательных организаций, общего и профессионального образования, социального обслуживания, здравоохранения и услуг органов службы занятости</w:t>
            </w:r>
          </w:p>
        </w:tc>
        <w:tc>
          <w:tcPr>
            <w:tcW w:w="2211" w:type="dxa"/>
          </w:tcPr>
          <w:p>
            <w:pPr>
              <w:pStyle w:val="0"/>
            </w:pPr>
            <w:r>
              <w:rPr>
                <w:sz w:val="20"/>
              </w:rPr>
              <w:t xml:space="preserve">Уполномоченный орган Югры</w:t>
            </w:r>
          </w:p>
        </w:tc>
        <w:tc>
          <w:tcPr>
            <w:tcW w:w="1191" w:type="dxa"/>
          </w:tcPr>
          <w:p>
            <w:pPr>
              <w:pStyle w:val="0"/>
            </w:pPr>
            <w:r>
              <w:rPr>
                <w:sz w:val="20"/>
              </w:rPr>
              <w:t xml:space="preserve">2022</w:t>
            </w:r>
          </w:p>
        </w:tc>
        <w:tc>
          <w:tcPr>
            <w:tcW w:w="1134" w:type="dxa"/>
          </w:tcPr>
          <w:p>
            <w:pPr>
              <w:pStyle w:val="0"/>
            </w:pPr>
            <w:r>
              <w:rPr>
                <w:sz w:val="20"/>
              </w:rPr>
              <w:t xml:space="preserve">2025</w:t>
            </w:r>
          </w:p>
        </w:tc>
        <w:tc>
          <w:tcPr>
            <w:tcW w:w="2410" w:type="dxa"/>
          </w:tcPr>
          <w:p>
            <w:pPr>
              <w:pStyle w:val="0"/>
            </w:pPr>
            <w:r>
              <w:rPr>
                <w:sz w:val="20"/>
              </w:rPr>
              <w:t xml:space="preserve">повышение информированности соотечественников об условиях участия в Подпрограмме, предоставляемых государственных гарантиях участникам Государственной программы и членам их семей</w:t>
            </w:r>
          </w:p>
        </w:tc>
        <w:tc>
          <w:tcPr>
            <w:tcW w:w="2126" w:type="dxa"/>
          </w:tcPr>
          <w:p>
            <w:pPr>
              <w:pStyle w:val="0"/>
            </w:pPr>
            <w:r>
              <w:rPr>
                <w:sz w:val="20"/>
              </w:rPr>
              <w:t xml:space="preserve">низкая информированность соотечественников об условиях участия в Подпрограмме, предоставляемых государственных гарантиях ее участникам и членам их семей, сложности в адаптации в принимающем сообществе</w:t>
            </w:r>
          </w:p>
        </w:tc>
      </w:tr>
      <w:tr>
        <w:tc>
          <w:tcPr>
            <w:tcW w:w="704" w:type="dxa"/>
          </w:tcPr>
          <w:p>
            <w:pPr>
              <w:pStyle w:val="0"/>
            </w:pPr>
            <w:r>
              <w:rPr>
                <w:sz w:val="20"/>
              </w:rPr>
              <w:t xml:space="preserve">3.</w:t>
            </w:r>
          </w:p>
        </w:tc>
        <w:tc>
          <w:tcPr>
            <w:tcW w:w="3118" w:type="dxa"/>
          </w:tcPr>
          <w:p>
            <w:pPr>
              <w:pStyle w:val="0"/>
            </w:pPr>
            <w:r>
              <w:rPr>
                <w:sz w:val="20"/>
              </w:rPr>
              <w:t xml:space="preserve">Содействие жилищному обустройству участников Государственной программы</w:t>
            </w:r>
          </w:p>
        </w:tc>
        <w:tc>
          <w:tcPr>
            <w:tcW w:w="2211" w:type="dxa"/>
          </w:tcPr>
          <w:p>
            <w:pPr>
              <w:pStyle w:val="0"/>
            </w:pPr>
            <w:r>
              <w:rPr>
                <w:sz w:val="20"/>
              </w:rPr>
              <w:t xml:space="preserve">Уполномоченный орган Югры</w:t>
            </w:r>
          </w:p>
        </w:tc>
        <w:tc>
          <w:tcPr>
            <w:tcW w:w="1191" w:type="dxa"/>
          </w:tcPr>
          <w:p>
            <w:pPr>
              <w:pStyle w:val="0"/>
            </w:pPr>
            <w:r>
              <w:rPr>
                <w:sz w:val="20"/>
              </w:rPr>
              <w:t xml:space="preserve">2022</w:t>
            </w:r>
          </w:p>
        </w:tc>
        <w:tc>
          <w:tcPr>
            <w:tcW w:w="1134" w:type="dxa"/>
          </w:tcPr>
          <w:p>
            <w:pPr>
              <w:pStyle w:val="0"/>
            </w:pPr>
            <w:r>
              <w:rPr>
                <w:sz w:val="20"/>
              </w:rPr>
              <w:t xml:space="preserve">2025</w:t>
            </w:r>
          </w:p>
        </w:tc>
        <w:tc>
          <w:tcPr>
            <w:tcW w:w="2410" w:type="dxa"/>
          </w:tcPr>
          <w:p>
            <w:pPr>
              <w:pStyle w:val="0"/>
            </w:pPr>
            <w:r>
              <w:rPr>
                <w:sz w:val="20"/>
              </w:rPr>
              <w:t xml:space="preserve">закрепление переселенцев на территории автономного округа</w:t>
            </w:r>
          </w:p>
        </w:tc>
        <w:tc>
          <w:tcPr>
            <w:tcW w:w="2126" w:type="dxa"/>
          </w:tcPr>
          <w:p>
            <w:pPr>
              <w:pStyle w:val="0"/>
            </w:pPr>
            <w:r>
              <w:rPr>
                <w:sz w:val="20"/>
              </w:rPr>
              <w:t xml:space="preserve">сложности с наймом и оплатой жилья в связи с недостаточностью собственных средств для оплаты жилья</w:t>
            </w:r>
          </w:p>
        </w:tc>
      </w:tr>
      <w:tr>
        <w:tc>
          <w:tcPr>
            <w:tcW w:w="704" w:type="dxa"/>
          </w:tcPr>
          <w:p>
            <w:pPr>
              <w:pStyle w:val="0"/>
            </w:pPr>
            <w:r>
              <w:rPr>
                <w:sz w:val="20"/>
              </w:rPr>
              <w:t xml:space="preserve">3.1.</w:t>
            </w:r>
          </w:p>
        </w:tc>
        <w:tc>
          <w:tcPr>
            <w:tcW w:w="3118" w:type="dxa"/>
          </w:tcPr>
          <w:p>
            <w:pPr>
              <w:pStyle w:val="0"/>
            </w:pPr>
            <w:r>
              <w:rPr>
                <w:sz w:val="20"/>
              </w:rPr>
              <w:t xml:space="preserve">Предоставление компенсации расходов участникам Государственной программы по найму жилья</w:t>
            </w:r>
          </w:p>
        </w:tc>
        <w:tc>
          <w:tcPr>
            <w:tcW w:w="2211" w:type="dxa"/>
          </w:tcPr>
          <w:p>
            <w:pPr>
              <w:pStyle w:val="0"/>
            </w:pPr>
            <w:r>
              <w:rPr>
                <w:sz w:val="20"/>
              </w:rPr>
              <w:t xml:space="preserve">Уполномоченный орган Югры</w:t>
            </w:r>
          </w:p>
        </w:tc>
        <w:tc>
          <w:tcPr>
            <w:tcW w:w="1191" w:type="dxa"/>
          </w:tcPr>
          <w:p>
            <w:pPr>
              <w:pStyle w:val="0"/>
            </w:pPr>
            <w:r>
              <w:rPr>
                <w:sz w:val="20"/>
              </w:rPr>
              <w:t xml:space="preserve">2022</w:t>
            </w:r>
          </w:p>
        </w:tc>
        <w:tc>
          <w:tcPr>
            <w:tcW w:w="1134" w:type="dxa"/>
          </w:tcPr>
          <w:p>
            <w:pPr>
              <w:pStyle w:val="0"/>
            </w:pPr>
            <w:r>
              <w:rPr>
                <w:sz w:val="20"/>
              </w:rPr>
              <w:t xml:space="preserve">2025</w:t>
            </w:r>
          </w:p>
        </w:tc>
        <w:tc>
          <w:tcPr>
            <w:tcW w:w="2410" w:type="dxa"/>
          </w:tcPr>
          <w:p>
            <w:pPr>
              <w:pStyle w:val="0"/>
            </w:pPr>
            <w:r>
              <w:rPr>
                <w:sz w:val="20"/>
              </w:rPr>
              <w:t xml:space="preserve">закрепление участников Государственной программы на территории автономного округа</w:t>
            </w:r>
          </w:p>
        </w:tc>
        <w:tc>
          <w:tcPr>
            <w:tcW w:w="2126" w:type="dxa"/>
          </w:tcPr>
          <w:p>
            <w:pPr>
              <w:pStyle w:val="0"/>
            </w:pPr>
            <w:r>
              <w:rPr>
                <w:sz w:val="20"/>
              </w:rPr>
              <w:t xml:space="preserve">сложности с наймом и оплатой жилья в связи с недостаточностью собственных средств для оплаты жилья</w:t>
            </w:r>
          </w:p>
        </w:tc>
      </w:tr>
      <w:tr>
        <w:tc>
          <w:tcPr>
            <w:tcW w:w="704" w:type="dxa"/>
          </w:tcPr>
          <w:p>
            <w:pPr>
              <w:pStyle w:val="0"/>
            </w:pPr>
            <w:r>
              <w:rPr>
                <w:sz w:val="20"/>
              </w:rPr>
              <w:t xml:space="preserve">3.2.</w:t>
            </w:r>
          </w:p>
        </w:tc>
        <w:tc>
          <w:tcPr>
            <w:tcW w:w="3118" w:type="dxa"/>
          </w:tcPr>
          <w:p>
            <w:pPr>
              <w:pStyle w:val="0"/>
            </w:pPr>
            <w:r>
              <w:rPr>
                <w:sz w:val="20"/>
              </w:rPr>
              <w:t xml:space="preserve">Информационно-разъяснительная работа среди участников Государственной программы по механизму приобретения жилья</w:t>
            </w:r>
          </w:p>
        </w:tc>
        <w:tc>
          <w:tcPr>
            <w:tcW w:w="2211" w:type="dxa"/>
          </w:tcPr>
          <w:p>
            <w:pPr>
              <w:pStyle w:val="0"/>
            </w:pPr>
            <w:r>
              <w:rPr>
                <w:sz w:val="20"/>
              </w:rPr>
              <w:t xml:space="preserve">Уполномоченный орган Югры</w:t>
            </w:r>
          </w:p>
        </w:tc>
        <w:tc>
          <w:tcPr>
            <w:tcW w:w="1191" w:type="dxa"/>
          </w:tcPr>
          <w:p>
            <w:pPr>
              <w:pStyle w:val="0"/>
            </w:pPr>
            <w:r>
              <w:rPr>
                <w:sz w:val="20"/>
              </w:rPr>
              <w:t xml:space="preserve">2022</w:t>
            </w:r>
          </w:p>
        </w:tc>
        <w:tc>
          <w:tcPr>
            <w:tcW w:w="1134" w:type="dxa"/>
          </w:tcPr>
          <w:p>
            <w:pPr>
              <w:pStyle w:val="0"/>
            </w:pPr>
            <w:r>
              <w:rPr>
                <w:sz w:val="20"/>
              </w:rPr>
              <w:t xml:space="preserve">2025</w:t>
            </w:r>
          </w:p>
        </w:tc>
        <w:tc>
          <w:tcPr>
            <w:tcW w:w="2410" w:type="dxa"/>
          </w:tcPr>
          <w:p>
            <w:pPr>
              <w:pStyle w:val="0"/>
            </w:pPr>
            <w:r>
              <w:rPr>
                <w:sz w:val="20"/>
              </w:rPr>
              <w:t xml:space="preserve">повышение информированности соотечественников по организационно-правовым вопросам по прибытии в муниципальное образование</w:t>
            </w:r>
          </w:p>
        </w:tc>
        <w:tc>
          <w:tcPr>
            <w:tcW w:w="2126" w:type="dxa"/>
          </w:tcPr>
          <w:p>
            <w:pPr>
              <w:pStyle w:val="0"/>
            </w:pPr>
            <w:r>
              <w:rPr>
                <w:sz w:val="20"/>
              </w:rPr>
              <w:t xml:space="preserve">сложности с наймом и оплатой жилья в связи с недостаточностью собственных средств для оплаты жилья</w:t>
            </w:r>
          </w:p>
        </w:tc>
      </w:tr>
      <w:tr>
        <w:tc>
          <w:tcPr>
            <w:tcW w:w="704" w:type="dxa"/>
          </w:tcPr>
          <w:p>
            <w:pPr>
              <w:pStyle w:val="0"/>
            </w:pPr>
            <w:r>
              <w:rPr>
                <w:sz w:val="20"/>
              </w:rPr>
              <w:t xml:space="preserve">4.</w:t>
            </w:r>
          </w:p>
        </w:tc>
        <w:tc>
          <w:tcPr>
            <w:tcW w:w="3118" w:type="dxa"/>
          </w:tcPr>
          <w:p>
            <w:pPr>
              <w:pStyle w:val="0"/>
            </w:pPr>
            <w:r>
              <w:rPr>
                <w:sz w:val="20"/>
              </w:rPr>
              <w:t xml:space="preserve">Оказание бесплатной медицинской помощи участникам Государственной программы и членам их семей до и после получения разрешения на временное проживание или до оформления гражданства Российской Федерации</w:t>
            </w:r>
          </w:p>
        </w:tc>
        <w:tc>
          <w:tcPr>
            <w:tcW w:w="2211" w:type="dxa"/>
          </w:tcPr>
          <w:p>
            <w:pPr>
              <w:pStyle w:val="0"/>
            </w:pPr>
            <w:r>
              <w:rPr>
                <w:sz w:val="20"/>
              </w:rPr>
              <w:t xml:space="preserve">Депздрав Югры</w:t>
            </w:r>
          </w:p>
        </w:tc>
        <w:tc>
          <w:tcPr>
            <w:tcW w:w="1191" w:type="dxa"/>
          </w:tcPr>
          <w:p>
            <w:pPr>
              <w:pStyle w:val="0"/>
            </w:pPr>
            <w:r>
              <w:rPr>
                <w:sz w:val="20"/>
              </w:rPr>
              <w:t xml:space="preserve">2022</w:t>
            </w:r>
          </w:p>
        </w:tc>
        <w:tc>
          <w:tcPr>
            <w:tcW w:w="1134" w:type="dxa"/>
          </w:tcPr>
          <w:p>
            <w:pPr>
              <w:pStyle w:val="0"/>
            </w:pPr>
            <w:r>
              <w:rPr>
                <w:sz w:val="20"/>
              </w:rPr>
              <w:t xml:space="preserve">2025</w:t>
            </w:r>
          </w:p>
        </w:tc>
        <w:tc>
          <w:tcPr>
            <w:tcW w:w="2410" w:type="dxa"/>
          </w:tcPr>
          <w:p>
            <w:pPr>
              <w:pStyle w:val="0"/>
            </w:pPr>
            <w:r>
              <w:rPr>
                <w:sz w:val="20"/>
              </w:rPr>
              <w:t xml:space="preserve">обеспечение реализации права участников Государственной программы и членов их семей на медицинскую помощь</w:t>
            </w:r>
          </w:p>
        </w:tc>
        <w:tc>
          <w:tcPr>
            <w:tcW w:w="2126" w:type="dxa"/>
          </w:tcPr>
          <w:p>
            <w:pPr>
              <w:pStyle w:val="0"/>
            </w:pPr>
            <w:r>
              <w:rPr>
                <w:sz w:val="20"/>
              </w:rPr>
              <w:t xml:space="preserve">затруднение в получении медицинских услуг участниками Государственной программы и членами их семей</w:t>
            </w:r>
          </w:p>
        </w:tc>
      </w:tr>
      <w:tr>
        <w:tc>
          <w:tcPr>
            <w:tcW w:w="704" w:type="dxa"/>
          </w:tcPr>
          <w:p>
            <w:pPr>
              <w:pStyle w:val="0"/>
            </w:pPr>
            <w:r>
              <w:rPr>
                <w:sz w:val="20"/>
              </w:rPr>
              <w:t xml:space="preserve">5.</w:t>
            </w:r>
          </w:p>
        </w:tc>
        <w:tc>
          <w:tcPr>
            <w:tcW w:w="3118" w:type="dxa"/>
          </w:tcPr>
          <w:p>
            <w:pPr>
              <w:pStyle w:val="0"/>
            </w:pPr>
            <w:r>
              <w:rPr>
                <w:sz w:val="20"/>
              </w:rPr>
              <w:t xml:space="preserve">Формирование банка вакансий для участников Государственной программы и размещение его на официальных веб-ресурсах органов государственной власти автономного округа</w:t>
            </w:r>
          </w:p>
        </w:tc>
        <w:tc>
          <w:tcPr>
            <w:tcW w:w="2211" w:type="dxa"/>
          </w:tcPr>
          <w:p>
            <w:pPr>
              <w:pStyle w:val="0"/>
            </w:pPr>
            <w:r>
              <w:rPr>
                <w:sz w:val="20"/>
              </w:rPr>
              <w:t xml:space="preserve">Уполномоченный орган Югры</w:t>
            </w:r>
          </w:p>
        </w:tc>
        <w:tc>
          <w:tcPr>
            <w:tcW w:w="1191" w:type="dxa"/>
          </w:tcPr>
          <w:p>
            <w:pPr>
              <w:pStyle w:val="0"/>
            </w:pPr>
            <w:r>
              <w:rPr>
                <w:sz w:val="20"/>
              </w:rPr>
              <w:t xml:space="preserve">2022</w:t>
            </w:r>
          </w:p>
        </w:tc>
        <w:tc>
          <w:tcPr>
            <w:tcW w:w="1134" w:type="dxa"/>
          </w:tcPr>
          <w:p>
            <w:pPr>
              <w:pStyle w:val="0"/>
            </w:pPr>
            <w:r>
              <w:rPr>
                <w:sz w:val="20"/>
              </w:rPr>
              <w:t xml:space="preserve">2025</w:t>
            </w:r>
          </w:p>
        </w:tc>
        <w:tc>
          <w:tcPr>
            <w:tcW w:w="2410" w:type="dxa"/>
          </w:tcPr>
          <w:p>
            <w:pPr>
              <w:pStyle w:val="0"/>
            </w:pPr>
            <w:r>
              <w:rPr>
                <w:sz w:val="20"/>
              </w:rPr>
              <w:t xml:space="preserve">расширение форм сотрудничества с работодателями автономного округа по вопросам трудоустройства участников Государственной программы</w:t>
            </w:r>
          </w:p>
        </w:tc>
        <w:tc>
          <w:tcPr>
            <w:tcW w:w="2126" w:type="dxa"/>
          </w:tcPr>
          <w:p>
            <w:pPr>
              <w:pStyle w:val="0"/>
            </w:pPr>
            <w:r>
              <w:rPr>
                <w:sz w:val="20"/>
              </w:rPr>
              <w:t xml:space="preserve">низкая информированность работодателей и потенциальных участников Подпрограммы, недостижение целевых показателей</w:t>
            </w:r>
          </w:p>
        </w:tc>
      </w:tr>
      <w:tr>
        <w:tc>
          <w:tcPr>
            <w:tcW w:w="704" w:type="dxa"/>
          </w:tcPr>
          <w:p>
            <w:pPr>
              <w:pStyle w:val="0"/>
            </w:pPr>
            <w:r>
              <w:rPr>
                <w:sz w:val="20"/>
              </w:rPr>
              <w:t xml:space="preserve">6.</w:t>
            </w:r>
          </w:p>
        </w:tc>
        <w:tc>
          <w:tcPr>
            <w:tcW w:w="3118" w:type="dxa"/>
          </w:tcPr>
          <w:p>
            <w:pPr>
              <w:pStyle w:val="0"/>
            </w:pPr>
            <w:r>
              <w:rPr>
                <w:sz w:val="20"/>
              </w:rPr>
              <w:t xml:space="preserve">Предоставление участникам Государственной программы и членам их семей государственных услуг в области содействия занятости населения в соответствии с действующим законодательством Российской Федерации</w:t>
            </w:r>
          </w:p>
        </w:tc>
        <w:tc>
          <w:tcPr>
            <w:tcW w:w="2211" w:type="dxa"/>
          </w:tcPr>
          <w:p>
            <w:pPr>
              <w:pStyle w:val="0"/>
            </w:pPr>
            <w:r>
              <w:rPr>
                <w:sz w:val="20"/>
              </w:rPr>
              <w:t xml:space="preserve">Уполномоченный орган Югры</w:t>
            </w:r>
          </w:p>
        </w:tc>
        <w:tc>
          <w:tcPr>
            <w:tcW w:w="1191" w:type="dxa"/>
          </w:tcPr>
          <w:p>
            <w:pPr>
              <w:pStyle w:val="0"/>
            </w:pPr>
            <w:r>
              <w:rPr>
                <w:sz w:val="20"/>
              </w:rPr>
              <w:t xml:space="preserve">2022</w:t>
            </w:r>
          </w:p>
        </w:tc>
        <w:tc>
          <w:tcPr>
            <w:tcW w:w="1134" w:type="dxa"/>
          </w:tcPr>
          <w:p>
            <w:pPr>
              <w:pStyle w:val="0"/>
            </w:pPr>
            <w:r>
              <w:rPr>
                <w:sz w:val="20"/>
              </w:rPr>
              <w:t xml:space="preserve">2025</w:t>
            </w:r>
          </w:p>
        </w:tc>
        <w:tc>
          <w:tcPr>
            <w:tcW w:w="2410" w:type="dxa"/>
          </w:tcPr>
          <w:p>
            <w:pPr>
              <w:pStyle w:val="0"/>
            </w:pPr>
            <w:r>
              <w:rPr>
                <w:sz w:val="20"/>
              </w:rPr>
              <w:t xml:space="preserve">сокращение сроков поиска работы соотечественниками и повышение уровня их трудоустройства</w:t>
            </w:r>
          </w:p>
        </w:tc>
        <w:tc>
          <w:tcPr>
            <w:tcW w:w="2126" w:type="dxa"/>
          </w:tcPr>
          <w:p>
            <w:pPr>
              <w:pStyle w:val="0"/>
            </w:pPr>
            <w:r>
              <w:rPr>
                <w:sz w:val="20"/>
              </w:rPr>
              <w:t xml:space="preserve">увеличение сроков поиска работы соотечественниками, снижение уровня их трудоустройства и попадание в категорию безработных</w:t>
            </w:r>
          </w:p>
        </w:tc>
      </w:tr>
    </w:tbl>
    <w:p>
      <w:pPr>
        <w:pStyle w:val="0"/>
        <w:jc w:val="both"/>
      </w:pPr>
      <w:r>
        <w:rPr>
          <w:sz w:val="20"/>
        </w:rPr>
      </w:r>
    </w:p>
    <w:p>
      <w:pPr>
        <w:pStyle w:val="0"/>
        <w:outlineLvl w:val="1"/>
        <w:jc w:val="right"/>
      </w:pPr>
      <w:r>
        <w:rPr>
          <w:sz w:val="20"/>
        </w:rPr>
        <w:t xml:space="preserve">Таблица 3</w:t>
      </w:r>
    </w:p>
    <w:p>
      <w:pPr>
        <w:pStyle w:val="0"/>
        <w:jc w:val="both"/>
      </w:pPr>
      <w:r>
        <w:rPr>
          <w:sz w:val="20"/>
        </w:rPr>
      </w:r>
    </w:p>
    <w:bookmarkStart w:id="701" w:name="P701"/>
    <w:bookmarkEnd w:id="701"/>
    <w:p>
      <w:pPr>
        <w:pStyle w:val="2"/>
        <w:jc w:val="center"/>
      </w:pPr>
      <w:r>
        <w:rPr>
          <w:sz w:val="20"/>
        </w:rPr>
        <w:t xml:space="preserve">Объемы финансовых ресурсов на реализацию основных</w:t>
      </w:r>
    </w:p>
    <w:p>
      <w:pPr>
        <w:pStyle w:val="2"/>
        <w:jc w:val="center"/>
      </w:pPr>
      <w:r>
        <w:rPr>
          <w:sz w:val="20"/>
        </w:rPr>
        <w:t xml:space="preserve">мероприятий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
        <w:gridCol w:w="3498"/>
        <w:gridCol w:w="2324"/>
        <w:gridCol w:w="1587"/>
        <w:gridCol w:w="1134"/>
        <w:gridCol w:w="1134"/>
        <w:gridCol w:w="1134"/>
        <w:gridCol w:w="1134"/>
        <w:gridCol w:w="1275"/>
      </w:tblGrid>
      <w:tr>
        <w:tc>
          <w:tcPr>
            <w:tcW w:w="704" w:type="dxa"/>
            <w:vMerge w:val="restart"/>
          </w:tcPr>
          <w:p>
            <w:pPr>
              <w:pStyle w:val="0"/>
              <w:jc w:val="center"/>
            </w:pPr>
            <w:r>
              <w:rPr>
                <w:sz w:val="20"/>
              </w:rPr>
              <w:t xml:space="preserve">N п/п</w:t>
            </w:r>
          </w:p>
        </w:tc>
        <w:tc>
          <w:tcPr>
            <w:tcW w:w="3498" w:type="dxa"/>
            <w:vMerge w:val="restart"/>
          </w:tcPr>
          <w:p>
            <w:pPr>
              <w:pStyle w:val="0"/>
              <w:jc w:val="center"/>
            </w:pPr>
            <w:r>
              <w:rPr>
                <w:sz w:val="20"/>
              </w:rPr>
              <w:t xml:space="preserve">Основные мероприятия Государственной программы</w:t>
            </w:r>
          </w:p>
        </w:tc>
        <w:tc>
          <w:tcPr>
            <w:tcW w:w="2324" w:type="dxa"/>
            <w:vMerge w:val="restart"/>
          </w:tcPr>
          <w:p>
            <w:pPr>
              <w:pStyle w:val="0"/>
              <w:jc w:val="center"/>
            </w:pPr>
            <w:r>
              <w:rPr>
                <w:sz w:val="20"/>
              </w:rPr>
              <w:t xml:space="preserve">Ответственный исполнитель/</w:t>
            </w:r>
          </w:p>
          <w:p>
            <w:pPr>
              <w:pStyle w:val="0"/>
              <w:jc w:val="center"/>
            </w:pPr>
            <w:r>
              <w:rPr>
                <w:sz w:val="20"/>
              </w:rPr>
              <w:t xml:space="preserve">соисполнитель</w:t>
            </w:r>
          </w:p>
        </w:tc>
        <w:tc>
          <w:tcPr>
            <w:tcW w:w="1587" w:type="dxa"/>
            <w:vMerge w:val="restart"/>
          </w:tcPr>
          <w:p>
            <w:pPr>
              <w:pStyle w:val="0"/>
              <w:jc w:val="center"/>
            </w:pPr>
            <w:r>
              <w:rPr>
                <w:sz w:val="20"/>
              </w:rPr>
              <w:t xml:space="preserve">Источники финансирования</w:t>
            </w:r>
          </w:p>
        </w:tc>
        <w:tc>
          <w:tcPr>
            <w:tcW w:w="1134" w:type="dxa"/>
          </w:tcPr>
          <w:p>
            <w:pPr>
              <w:pStyle w:val="0"/>
            </w:pPr>
            <w:r>
              <w:rPr>
                <w:sz w:val="20"/>
              </w:rPr>
            </w:r>
          </w:p>
        </w:tc>
        <w:tc>
          <w:tcPr>
            <w:gridSpan w:val="4"/>
            <w:tcW w:w="4677" w:type="dxa"/>
          </w:tcPr>
          <w:p>
            <w:pPr>
              <w:pStyle w:val="0"/>
              <w:jc w:val="center"/>
            </w:pPr>
            <w:r>
              <w:rPr>
                <w:sz w:val="20"/>
              </w:rPr>
              <w:t xml:space="preserve">Финансовые затраты на реализацию (тыс. рублей)</w:t>
            </w:r>
          </w:p>
        </w:tc>
      </w:tr>
      <w:tr>
        <w:tc>
          <w:tcPr>
            <w:vMerge w:val="continue"/>
          </w:tcPr>
          <w:p/>
        </w:tc>
        <w:tc>
          <w:tcPr>
            <w:vMerge w:val="continue"/>
          </w:tcPr>
          <w:p/>
        </w:tc>
        <w:tc>
          <w:tcPr>
            <w:vMerge w:val="continue"/>
          </w:tcPr>
          <w:p/>
        </w:tc>
        <w:tc>
          <w:tcPr>
            <w:vMerge w:val="continue"/>
          </w:tcPr>
          <w:p/>
        </w:tc>
        <w:tc>
          <w:tcPr>
            <w:tcW w:w="1134" w:type="dxa"/>
            <w:vMerge w:val="restart"/>
          </w:tcPr>
          <w:p>
            <w:pPr>
              <w:pStyle w:val="0"/>
              <w:jc w:val="center"/>
            </w:pPr>
            <w:r>
              <w:rPr>
                <w:sz w:val="20"/>
              </w:rPr>
              <w:t xml:space="preserve">всего</w:t>
            </w:r>
          </w:p>
        </w:tc>
        <w:tc>
          <w:tcPr>
            <w:gridSpan w:val="4"/>
            <w:tcW w:w="4677"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tcW w:w="1134" w:type="dxa"/>
          </w:tcPr>
          <w:p>
            <w:pPr>
              <w:pStyle w:val="0"/>
              <w:jc w:val="center"/>
            </w:pPr>
            <w:r>
              <w:rPr>
                <w:sz w:val="20"/>
              </w:rPr>
              <w:t xml:space="preserve">2022 год</w:t>
            </w:r>
          </w:p>
        </w:tc>
        <w:tc>
          <w:tcPr>
            <w:tcW w:w="1134" w:type="dxa"/>
          </w:tcPr>
          <w:p>
            <w:pPr>
              <w:pStyle w:val="0"/>
              <w:jc w:val="center"/>
            </w:pPr>
            <w:r>
              <w:rPr>
                <w:sz w:val="20"/>
              </w:rPr>
              <w:t xml:space="preserve">2023 год</w:t>
            </w:r>
          </w:p>
        </w:tc>
        <w:tc>
          <w:tcPr>
            <w:tcW w:w="1134" w:type="dxa"/>
          </w:tcPr>
          <w:p>
            <w:pPr>
              <w:pStyle w:val="0"/>
              <w:jc w:val="center"/>
            </w:pPr>
            <w:r>
              <w:rPr>
                <w:sz w:val="20"/>
              </w:rPr>
              <w:t xml:space="preserve">2024 год</w:t>
            </w:r>
          </w:p>
        </w:tc>
        <w:tc>
          <w:tcPr>
            <w:tcW w:w="1275" w:type="dxa"/>
          </w:tcPr>
          <w:p>
            <w:pPr>
              <w:pStyle w:val="0"/>
              <w:jc w:val="center"/>
            </w:pPr>
            <w:r>
              <w:rPr>
                <w:sz w:val="20"/>
              </w:rPr>
              <w:t xml:space="preserve">2025 год</w:t>
            </w:r>
          </w:p>
        </w:tc>
      </w:tr>
      <w:tr>
        <w:tc>
          <w:tcPr>
            <w:tcW w:w="704" w:type="dxa"/>
          </w:tcPr>
          <w:p>
            <w:pPr>
              <w:pStyle w:val="0"/>
              <w:jc w:val="center"/>
            </w:pPr>
            <w:r>
              <w:rPr>
                <w:sz w:val="20"/>
              </w:rPr>
              <w:t xml:space="preserve">1</w:t>
            </w:r>
          </w:p>
        </w:tc>
        <w:tc>
          <w:tcPr>
            <w:tcW w:w="3498" w:type="dxa"/>
          </w:tcPr>
          <w:p>
            <w:pPr>
              <w:pStyle w:val="0"/>
              <w:jc w:val="center"/>
            </w:pPr>
            <w:r>
              <w:rPr>
                <w:sz w:val="20"/>
              </w:rPr>
              <w:t xml:space="preserve">2</w:t>
            </w:r>
          </w:p>
        </w:tc>
        <w:tc>
          <w:tcPr>
            <w:tcW w:w="2324" w:type="dxa"/>
          </w:tcPr>
          <w:p>
            <w:pPr>
              <w:pStyle w:val="0"/>
              <w:jc w:val="center"/>
            </w:pPr>
            <w:r>
              <w:rPr>
                <w:sz w:val="20"/>
              </w:rPr>
              <w:t xml:space="preserve">3</w:t>
            </w:r>
          </w:p>
        </w:tc>
        <w:tc>
          <w:tcPr>
            <w:tcW w:w="1587" w:type="dxa"/>
          </w:tcPr>
          <w:p>
            <w:pPr>
              <w:pStyle w:val="0"/>
              <w:jc w:val="center"/>
            </w:pPr>
            <w:r>
              <w:rPr>
                <w:sz w:val="20"/>
              </w:rPr>
              <w:t xml:space="preserve">4</w:t>
            </w:r>
          </w:p>
        </w:tc>
        <w:tc>
          <w:tcPr>
            <w:tcW w:w="1134" w:type="dxa"/>
          </w:tcPr>
          <w:p>
            <w:pPr>
              <w:pStyle w:val="0"/>
              <w:jc w:val="center"/>
            </w:pPr>
            <w:r>
              <w:rPr>
                <w:sz w:val="20"/>
              </w:rPr>
              <w:t xml:space="preserve">5</w:t>
            </w:r>
          </w:p>
        </w:tc>
        <w:tc>
          <w:tcPr>
            <w:tcW w:w="1134"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275" w:type="dxa"/>
          </w:tcPr>
          <w:p>
            <w:pPr>
              <w:pStyle w:val="0"/>
              <w:jc w:val="center"/>
            </w:pPr>
            <w:r>
              <w:rPr>
                <w:sz w:val="20"/>
              </w:rPr>
              <w:t xml:space="preserve">11</w:t>
            </w:r>
          </w:p>
        </w:tc>
      </w:tr>
      <w:tr>
        <w:tc>
          <w:tcPr>
            <w:tcW w:w="704" w:type="dxa"/>
            <w:tcBorders>
              <w:bottom w:val="nil"/>
            </w:tcBorders>
            <w:vMerge w:val="restart"/>
          </w:tcPr>
          <w:p>
            <w:pPr>
              <w:pStyle w:val="0"/>
            </w:pPr>
            <w:r>
              <w:rPr>
                <w:sz w:val="20"/>
              </w:rPr>
              <w:t xml:space="preserve">1.</w:t>
            </w:r>
          </w:p>
        </w:tc>
        <w:tc>
          <w:tcPr>
            <w:tcW w:w="3498" w:type="dxa"/>
            <w:tcBorders>
              <w:bottom w:val="nil"/>
            </w:tcBorders>
            <w:vMerge w:val="restart"/>
          </w:tcPr>
          <w:p>
            <w:pPr>
              <w:pStyle w:val="0"/>
            </w:pPr>
            <w:r>
              <w:rPr>
                <w:sz w:val="20"/>
              </w:rPr>
              <w:t xml:space="preserve">Информационное обеспечение реализации Подпрограммы</w:t>
            </w:r>
          </w:p>
        </w:tc>
        <w:tc>
          <w:tcPr>
            <w:tcW w:w="2324" w:type="dxa"/>
            <w:tcBorders>
              <w:bottom w:val="nil"/>
            </w:tcBorders>
            <w:vMerge w:val="restart"/>
          </w:tcPr>
          <w:p>
            <w:pPr>
              <w:pStyle w:val="0"/>
            </w:pPr>
            <w:r>
              <w:rPr>
                <w:sz w:val="20"/>
              </w:rPr>
              <w:t xml:space="preserve">Уполномоченный орган Югры; Департамент общественных, внешних связей и молодежи Югры; Депобразования и науки Югры; Депсоцразвития Югры</w:t>
            </w:r>
          </w:p>
        </w:tc>
        <w:tc>
          <w:tcPr>
            <w:tcW w:w="1587" w:type="dxa"/>
          </w:tcPr>
          <w:p>
            <w:pPr>
              <w:pStyle w:val="0"/>
            </w:pPr>
            <w:r>
              <w:rPr>
                <w:sz w:val="20"/>
              </w:rPr>
              <w:t xml:space="preserve">всего</w:t>
            </w:r>
          </w:p>
        </w:tc>
        <w:tc>
          <w:tcPr>
            <w:tcW w:w="1134" w:type="dxa"/>
          </w:tcPr>
          <w:p>
            <w:pPr>
              <w:pStyle w:val="0"/>
            </w:pPr>
            <w:r>
              <w:rPr>
                <w:sz w:val="20"/>
              </w:rPr>
              <w:t xml:space="preserve">2760,0</w:t>
            </w:r>
          </w:p>
        </w:tc>
        <w:tc>
          <w:tcPr>
            <w:tcW w:w="1134" w:type="dxa"/>
          </w:tcPr>
          <w:p>
            <w:pPr>
              <w:pStyle w:val="0"/>
            </w:pPr>
            <w:r>
              <w:rPr>
                <w:sz w:val="20"/>
              </w:rPr>
              <w:t xml:space="preserve">690,0</w:t>
            </w:r>
          </w:p>
        </w:tc>
        <w:tc>
          <w:tcPr>
            <w:tcW w:w="1134" w:type="dxa"/>
          </w:tcPr>
          <w:p>
            <w:pPr>
              <w:pStyle w:val="0"/>
            </w:pPr>
            <w:r>
              <w:rPr>
                <w:sz w:val="20"/>
              </w:rPr>
              <w:t xml:space="preserve">690,0</w:t>
            </w:r>
          </w:p>
        </w:tc>
        <w:tc>
          <w:tcPr>
            <w:tcW w:w="1134" w:type="dxa"/>
          </w:tcPr>
          <w:p>
            <w:pPr>
              <w:pStyle w:val="0"/>
            </w:pPr>
            <w:r>
              <w:rPr>
                <w:sz w:val="20"/>
              </w:rPr>
              <w:t xml:space="preserve">690,0</w:t>
            </w:r>
          </w:p>
        </w:tc>
        <w:tc>
          <w:tcPr>
            <w:tcW w:w="1275" w:type="dxa"/>
          </w:tcPr>
          <w:p>
            <w:pPr>
              <w:pStyle w:val="0"/>
            </w:pPr>
            <w:r>
              <w:rPr>
                <w:sz w:val="20"/>
              </w:rPr>
              <w:t xml:space="preserve">690,0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Borders>
              <w:bottom w:val="nil"/>
            </w:tcBorders>
          </w:tcPr>
          <w:p>
            <w:pPr>
              <w:pStyle w:val="0"/>
            </w:pPr>
            <w:r>
              <w:rPr>
                <w:sz w:val="20"/>
              </w:rPr>
              <w:t xml:space="preserve">бюджет автономного округа</w:t>
            </w:r>
          </w:p>
        </w:tc>
        <w:tc>
          <w:tcPr>
            <w:tcW w:w="1134" w:type="dxa"/>
            <w:tcBorders>
              <w:bottom w:val="nil"/>
            </w:tcBorders>
          </w:tcPr>
          <w:p>
            <w:pPr>
              <w:pStyle w:val="0"/>
            </w:pPr>
            <w:r>
              <w:rPr>
                <w:sz w:val="20"/>
              </w:rPr>
              <w:t xml:space="preserve">2760,0</w:t>
            </w:r>
          </w:p>
        </w:tc>
        <w:tc>
          <w:tcPr>
            <w:tcW w:w="1134" w:type="dxa"/>
            <w:tcBorders>
              <w:bottom w:val="nil"/>
            </w:tcBorders>
          </w:tcPr>
          <w:p>
            <w:pPr>
              <w:pStyle w:val="0"/>
            </w:pPr>
            <w:r>
              <w:rPr>
                <w:sz w:val="20"/>
              </w:rPr>
              <w:t xml:space="preserve">690,0</w:t>
            </w:r>
          </w:p>
        </w:tc>
        <w:tc>
          <w:tcPr>
            <w:tcW w:w="1134" w:type="dxa"/>
            <w:tcBorders>
              <w:bottom w:val="nil"/>
            </w:tcBorders>
          </w:tcPr>
          <w:p>
            <w:pPr>
              <w:pStyle w:val="0"/>
            </w:pPr>
            <w:r>
              <w:rPr>
                <w:sz w:val="20"/>
              </w:rPr>
              <w:t xml:space="preserve">690,0</w:t>
            </w:r>
          </w:p>
        </w:tc>
        <w:tc>
          <w:tcPr>
            <w:tcW w:w="1134" w:type="dxa"/>
            <w:tcBorders>
              <w:bottom w:val="nil"/>
            </w:tcBorders>
          </w:tcPr>
          <w:p>
            <w:pPr>
              <w:pStyle w:val="0"/>
            </w:pPr>
            <w:r>
              <w:rPr>
                <w:sz w:val="20"/>
              </w:rPr>
              <w:t xml:space="preserve">690,0</w:t>
            </w:r>
          </w:p>
        </w:tc>
        <w:tc>
          <w:tcPr>
            <w:tcW w:w="1275" w:type="dxa"/>
            <w:tcBorders>
              <w:bottom w:val="nil"/>
            </w:tcBorders>
          </w:tcPr>
          <w:p>
            <w:pPr>
              <w:pStyle w:val="0"/>
            </w:pPr>
            <w:r>
              <w:rPr>
                <w:sz w:val="20"/>
              </w:rPr>
              <w:t xml:space="preserve">690,0</w:t>
            </w:r>
          </w:p>
        </w:tc>
      </w:tr>
      <w:tr>
        <w:tblPrEx>
          <w:tblBorders>
            <w:insideH w:val="nil"/>
          </w:tblBorders>
        </w:tblPrEx>
        <w:tc>
          <w:tcPr>
            <w:gridSpan w:val="9"/>
            <w:tcW w:w="13924" w:type="dxa"/>
            <w:tcBorders>
              <w:top w:val="nil"/>
            </w:tcBorders>
          </w:tcPr>
          <w:p>
            <w:pPr>
              <w:pStyle w:val="0"/>
              <w:jc w:val="both"/>
            </w:pPr>
            <w:r>
              <w:rPr>
                <w:sz w:val="20"/>
              </w:rPr>
              <w:t xml:space="preserve">(в ред. </w:t>
            </w:r>
            <w:hyperlink w:history="0" r:id="rId93"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704" w:type="dxa"/>
            <w:tcBorders>
              <w:bottom w:val="nil"/>
            </w:tcBorders>
            <w:vMerge w:val="restart"/>
          </w:tcPr>
          <w:p>
            <w:pPr>
              <w:pStyle w:val="0"/>
            </w:pPr>
            <w:r>
              <w:rPr>
                <w:sz w:val="20"/>
              </w:rPr>
              <w:t xml:space="preserve">1.1.</w:t>
            </w:r>
          </w:p>
        </w:tc>
        <w:tc>
          <w:tcPr>
            <w:tcW w:w="3498" w:type="dxa"/>
            <w:tcBorders>
              <w:bottom w:val="nil"/>
            </w:tcBorders>
            <w:vMerge w:val="restart"/>
          </w:tcPr>
          <w:p>
            <w:pPr>
              <w:pStyle w:val="0"/>
            </w:pPr>
            <w:r>
              <w:rPr>
                <w:sz w:val="20"/>
              </w:rPr>
              <w:t xml:space="preserve">Организация и проведение информационной кампании (производство и размещение материалов в средствах массовой информации, на интернет-ресурсах, проведение встреч с некоммерческими организациями, пресс-конференций), направленной на информирование участников Государственной программы о возможностях Подпрограммы с целью их адаптации и интеграции в обществе, а также повышения информированности потенциальных участников Государственной программы об условиях участия в Подпрограмме</w:t>
            </w:r>
          </w:p>
        </w:tc>
        <w:tc>
          <w:tcPr>
            <w:tcW w:w="2324" w:type="dxa"/>
            <w:tcBorders>
              <w:bottom w:val="nil"/>
            </w:tcBorders>
            <w:vMerge w:val="restart"/>
          </w:tcPr>
          <w:p>
            <w:pPr>
              <w:pStyle w:val="0"/>
            </w:pPr>
            <w:r>
              <w:rPr>
                <w:sz w:val="20"/>
              </w:rPr>
              <w:t xml:space="preserve">Департамент общественных, внешних связей и молодежи Югры</w:t>
            </w:r>
          </w:p>
        </w:tc>
        <w:tc>
          <w:tcPr>
            <w:tcW w:w="1587" w:type="dxa"/>
          </w:tcPr>
          <w:p>
            <w:pPr>
              <w:pStyle w:val="0"/>
            </w:pPr>
            <w:r>
              <w:rPr>
                <w:sz w:val="20"/>
              </w:rPr>
              <w:t xml:space="preserve">всего</w:t>
            </w:r>
          </w:p>
        </w:tc>
        <w:tc>
          <w:tcPr>
            <w:tcW w:w="1134" w:type="dxa"/>
          </w:tcPr>
          <w:p>
            <w:pPr>
              <w:pStyle w:val="0"/>
            </w:pPr>
            <w:r>
              <w:rPr>
                <w:sz w:val="20"/>
              </w:rPr>
              <w:t xml:space="preserve">800,0</w:t>
            </w:r>
          </w:p>
        </w:tc>
        <w:tc>
          <w:tcPr>
            <w:tcW w:w="1134" w:type="dxa"/>
          </w:tcPr>
          <w:p>
            <w:pPr>
              <w:pStyle w:val="0"/>
            </w:pPr>
            <w:r>
              <w:rPr>
                <w:sz w:val="20"/>
              </w:rPr>
              <w:t xml:space="preserve">200,0</w:t>
            </w:r>
          </w:p>
        </w:tc>
        <w:tc>
          <w:tcPr>
            <w:tcW w:w="1134" w:type="dxa"/>
          </w:tcPr>
          <w:p>
            <w:pPr>
              <w:pStyle w:val="0"/>
            </w:pPr>
            <w:r>
              <w:rPr>
                <w:sz w:val="20"/>
              </w:rPr>
              <w:t xml:space="preserve">200,0</w:t>
            </w:r>
          </w:p>
        </w:tc>
        <w:tc>
          <w:tcPr>
            <w:tcW w:w="1134" w:type="dxa"/>
          </w:tcPr>
          <w:p>
            <w:pPr>
              <w:pStyle w:val="0"/>
            </w:pPr>
            <w:r>
              <w:rPr>
                <w:sz w:val="20"/>
              </w:rPr>
              <w:t xml:space="preserve">200,0</w:t>
            </w:r>
          </w:p>
        </w:tc>
        <w:tc>
          <w:tcPr>
            <w:tcW w:w="1275" w:type="dxa"/>
          </w:tcPr>
          <w:p>
            <w:pPr>
              <w:pStyle w:val="0"/>
            </w:pPr>
            <w:r>
              <w:rPr>
                <w:sz w:val="20"/>
              </w:rPr>
              <w:t xml:space="preserve">200,0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Borders>
              <w:bottom w:val="nil"/>
            </w:tcBorders>
          </w:tcPr>
          <w:p>
            <w:pPr>
              <w:pStyle w:val="0"/>
            </w:pPr>
            <w:r>
              <w:rPr>
                <w:sz w:val="20"/>
              </w:rPr>
              <w:t xml:space="preserve">бюджет автономного округа</w:t>
            </w:r>
          </w:p>
        </w:tc>
        <w:tc>
          <w:tcPr>
            <w:tcW w:w="1134" w:type="dxa"/>
            <w:tcBorders>
              <w:bottom w:val="nil"/>
            </w:tcBorders>
          </w:tcPr>
          <w:p>
            <w:pPr>
              <w:pStyle w:val="0"/>
            </w:pPr>
            <w:r>
              <w:rPr>
                <w:sz w:val="20"/>
              </w:rPr>
              <w:t xml:space="preserve">800,0</w:t>
            </w:r>
          </w:p>
        </w:tc>
        <w:tc>
          <w:tcPr>
            <w:tcW w:w="1134" w:type="dxa"/>
            <w:tcBorders>
              <w:bottom w:val="nil"/>
            </w:tcBorders>
          </w:tcPr>
          <w:p>
            <w:pPr>
              <w:pStyle w:val="0"/>
            </w:pPr>
            <w:r>
              <w:rPr>
                <w:sz w:val="20"/>
              </w:rPr>
              <w:t xml:space="preserve">200,0</w:t>
            </w:r>
          </w:p>
        </w:tc>
        <w:tc>
          <w:tcPr>
            <w:tcW w:w="1134" w:type="dxa"/>
            <w:tcBorders>
              <w:bottom w:val="nil"/>
            </w:tcBorders>
          </w:tcPr>
          <w:p>
            <w:pPr>
              <w:pStyle w:val="0"/>
            </w:pPr>
            <w:r>
              <w:rPr>
                <w:sz w:val="20"/>
              </w:rPr>
              <w:t xml:space="preserve">200,0</w:t>
            </w:r>
          </w:p>
        </w:tc>
        <w:tc>
          <w:tcPr>
            <w:tcW w:w="1134" w:type="dxa"/>
            <w:tcBorders>
              <w:bottom w:val="nil"/>
            </w:tcBorders>
          </w:tcPr>
          <w:p>
            <w:pPr>
              <w:pStyle w:val="0"/>
            </w:pPr>
            <w:r>
              <w:rPr>
                <w:sz w:val="20"/>
              </w:rPr>
              <w:t xml:space="preserve">200,0</w:t>
            </w:r>
          </w:p>
        </w:tc>
        <w:tc>
          <w:tcPr>
            <w:tcW w:w="1275" w:type="dxa"/>
            <w:tcBorders>
              <w:bottom w:val="nil"/>
            </w:tcBorders>
          </w:tcPr>
          <w:p>
            <w:pPr>
              <w:pStyle w:val="0"/>
            </w:pPr>
            <w:r>
              <w:rPr>
                <w:sz w:val="20"/>
              </w:rPr>
              <w:t xml:space="preserve">200,0</w:t>
            </w:r>
          </w:p>
        </w:tc>
      </w:tr>
      <w:tr>
        <w:tblPrEx>
          <w:tblBorders>
            <w:insideH w:val="nil"/>
          </w:tblBorders>
        </w:tblPrEx>
        <w:tc>
          <w:tcPr>
            <w:gridSpan w:val="9"/>
            <w:tcW w:w="13924" w:type="dxa"/>
            <w:tcBorders>
              <w:top w:val="nil"/>
            </w:tcBorders>
          </w:tcPr>
          <w:p>
            <w:pPr>
              <w:pStyle w:val="0"/>
              <w:jc w:val="both"/>
            </w:pPr>
            <w:r>
              <w:rPr>
                <w:sz w:val="20"/>
              </w:rPr>
              <w:t xml:space="preserve">(в ред. </w:t>
            </w:r>
            <w:hyperlink w:history="0" r:id="rId9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704" w:type="dxa"/>
            <w:tcBorders>
              <w:bottom w:val="nil"/>
            </w:tcBorders>
            <w:vMerge w:val="restart"/>
          </w:tcPr>
          <w:p>
            <w:pPr>
              <w:pStyle w:val="0"/>
            </w:pPr>
            <w:r>
              <w:rPr>
                <w:sz w:val="20"/>
              </w:rPr>
              <w:t xml:space="preserve">1.2.</w:t>
            </w:r>
          </w:p>
        </w:tc>
        <w:tc>
          <w:tcPr>
            <w:tcW w:w="3498" w:type="dxa"/>
            <w:tcBorders>
              <w:bottom w:val="nil"/>
            </w:tcBorders>
            <w:vMerge w:val="restart"/>
          </w:tcPr>
          <w:p>
            <w:pPr>
              <w:pStyle w:val="0"/>
            </w:pPr>
            <w:r>
              <w:rPr>
                <w:sz w:val="20"/>
              </w:rPr>
              <w:t xml:space="preserve">Организация презентаций образовательного потенциала автономного округа на площадках российских центров науки и культуры в странах Содружества Независимых Государств с участием образовательных организаций высшего образования региона</w:t>
            </w:r>
          </w:p>
        </w:tc>
        <w:tc>
          <w:tcPr>
            <w:tcW w:w="2324" w:type="dxa"/>
            <w:tcBorders>
              <w:bottom w:val="nil"/>
            </w:tcBorders>
            <w:vMerge w:val="restart"/>
          </w:tcPr>
          <w:p>
            <w:pPr>
              <w:pStyle w:val="0"/>
            </w:pPr>
            <w:r>
              <w:rPr>
                <w:sz w:val="20"/>
              </w:rPr>
              <w:t xml:space="preserve">Департамент общественных, внешних связей и молодежи Югры;</w:t>
            </w:r>
          </w:p>
          <w:p>
            <w:pPr>
              <w:pStyle w:val="0"/>
            </w:pPr>
            <w:r>
              <w:rPr>
                <w:sz w:val="20"/>
              </w:rPr>
              <w:t xml:space="preserve">Депобразования и науки Югры</w:t>
            </w:r>
          </w:p>
        </w:tc>
        <w:tc>
          <w:tcPr>
            <w:tcW w:w="1587" w:type="dxa"/>
          </w:tcPr>
          <w:p>
            <w:pPr>
              <w:pStyle w:val="0"/>
            </w:pPr>
            <w:r>
              <w:rPr>
                <w:sz w:val="20"/>
              </w:rPr>
              <w:t xml:space="preserve">всего</w:t>
            </w:r>
          </w:p>
        </w:tc>
        <w:tc>
          <w:tcPr>
            <w:tcW w:w="1134" w:type="dxa"/>
          </w:tcPr>
          <w:p>
            <w:pPr>
              <w:pStyle w:val="0"/>
            </w:pPr>
            <w:r>
              <w:rPr>
                <w:sz w:val="20"/>
              </w:rPr>
              <w:t xml:space="preserve">1960,0</w:t>
            </w:r>
          </w:p>
        </w:tc>
        <w:tc>
          <w:tcPr>
            <w:tcW w:w="1134" w:type="dxa"/>
          </w:tcPr>
          <w:p>
            <w:pPr>
              <w:pStyle w:val="0"/>
            </w:pPr>
            <w:r>
              <w:rPr>
                <w:sz w:val="20"/>
              </w:rPr>
              <w:t xml:space="preserve">490,0</w:t>
            </w:r>
          </w:p>
        </w:tc>
        <w:tc>
          <w:tcPr>
            <w:tcW w:w="1134" w:type="dxa"/>
          </w:tcPr>
          <w:p>
            <w:pPr>
              <w:pStyle w:val="0"/>
            </w:pPr>
            <w:r>
              <w:rPr>
                <w:sz w:val="20"/>
              </w:rPr>
              <w:t xml:space="preserve">490,0</w:t>
            </w:r>
          </w:p>
        </w:tc>
        <w:tc>
          <w:tcPr>
            <w:tcW w:w="1134" w:type="dxa"/>
          </w:tcPr>
          <w:p>
            <w:pPr>
              <w:pStyle w:val="0"/>
            </w:pPr>
            <w:r>
              <w:rPr>
                <w:sz w:val="20"/>
              </w:rPr>
              <w:t xml:space="preserve">490,0</w:t>
            </w:r>
          </w:p>
        </w:tc>
        <w:tc>
          <w:tcPr>
            <w:tcW w:w="1275" w:type="dxa"/>
          </w:tcPr>
          <w:p>
            <w:pPr>
              <w:pStyle w:val="0"/>
            </w:pPr>
            <w:r>
              <w:rPr>
                <w:sz w:val="20"/>
              </w:rPr>
              <w:t xml:space="preserve">490,0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Borders>
              <w:bottom w:val="nil"/>
            </w:tcBorders>
          </w:tcPr>
          <w:p>
            <w:pPr>
              <w:pStyle w:val="0"/>
            </w:pPr>
            <w:r>
              <w:rPr>
                <w:sz w:val="20"/>
              </w:rPr>
              <w:t xml:space="preserve">бюджет автономного округа</w:t>
            </w:r>
          </w:p>
        </w:tc>
        <w:tc>
          <w:tcPr>
            <w:tcW w:w="1134" w:type="dxa"/>
            <w:tcBorders>
              <w:bottom w:val="nil"/>
            </w:tcBorders>
          </w:tcPr>
          <w:p>
            <w:pPr>
              <w:pStyle w:val="0"/>
            </w:pPr>
            <w:r>
              <w:rPr>
                <w:sz w:val="20"/>
              </w:rPr>
              <w:t xml:space="preserve">1960,0</w:t>
            </w:r>
          </w:p>
        </w:tc>
        <w:tc>
          <w:tcPr>
            <w:tcW w:w="1134" w:type="dxa"/>
            <w:tcBorders>
              <w:bottom w:val="nil"/>
            </w:tcBorders>
          </w:tcPr>
          <w:p>
            <w:pPr>
              <w:pStyle w:val="0"/>
            </w:pPr>
            <w:r>
              <w:rPr>
                <w:sz w:val="20"/>
              </w:rPr>
              <w:t xml:space="preserve">490,0</w:t>
            </w:r>
          </w:p>
        </w:tc>
        <w:tc>
          <w:tcPr>
            <w:tcW w:w="1134" w:type="dxa"/>
            <w:tcBorders>
              <w:bottom w:val="nil"/>
            </w:tcBorders>
          </w:tcPr>
          <w:p>
            <w:pPr>
              <w:pStyle w:val="0"/>
            </w:pPr>
            <w:r>
              <w:rPr>
                <w:sz w:val="20"/>
              </w:rPr>
              <w:t xml:space="preserve">490,0</w:t>
            </w:r>
          </w:p>
        </w:tc>
        <w:tc>
          <w:tcPr>
            <w:tcW w:w="1134" w:type="dxa"/>
            <w:tcBorders>
              <w:bottom w:val="nil"/>
            </w:tcBorders>
          </w:tcPr>
          <w:p>
            <w:pPr>
              <w:pStyle w:val="0"/>
            </w:pPr>
            <w:r>
              <w:rPr>
                <w:sz w:val="20"/>
              </w:rPr>
              <w:t xml:space="preserve">490,0</w:t>
            </w:r>
          </w:p>
        </w:tc>
        <w:tc>
          <w:tcPr>
            <w:tcW w:w="1275" w:type="dxa"/>
            <w:tcBorders>
              <w:bottom w:val="nil"/>
            </w:tcBorders>
          </w:tcPr>
          <w:p>
            <w:pPr>
              <w:pStyle w:val="0"/>
            </w:pPr>
            <w:r>
              <w:rPr>
                <w:sz w:val="20"/>
              </w:rPr>
              <w:t xml:space="preserve">490,0</w:t>
            </w:r>
          </w:p>
        </w:tc>
      </w:tr>
      <w:tr>
        <w:tblPrEx>
          <w:tblBorders>
            <w:insideH w:val="nil"/>
          </w:tblBorders>
        </w:tblPrEx>
        <w:tc>
          <w:tcPr>
            <w:gridSpan w:val="9"/>
            <w:tcW w:w="13924" w:type="dxa"/>
            <w:tcBorders>
              <w:top w:val="nil"/>
            </w:tcBorders>
          </w:tcPr>
          <w:p>
            <w:pPr>
              <w:pStyle w:val="0"/>
              <w:jc w:val="both"/>
            </w:pPr>
            <w:r>
              <w:rPr>
                <w:sz w:val="20"/>
              </w:rPr>
              <w:t xml:space="preserve">(в ред. </w:t>
            </w:r>
            <w:hyperlink w:history="0" r:id="rId95"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704" w:type="dxa"/>
            <w:tcBorders>
              <w:bottom w:val="nil"/>
            </w:tcBorders>
            <w:vMerge w:val="restart"/>
          </w:tcPr>
          <w:p>
            <w:pPr>
              <w:pStyle w:val="0"/>
            </w:pPr>
            <w:r>
              <w:rPr>
                <w:sz w:val="20"/>
              </w:rPr>
              <w:t xml:space="preserve">1.3.</w:t>
            </w:r>
          </w:p>
        </w:tc>
        <w:tc>
          <w:tcPr>
            <w:tcW w:w="3498" w:type="dxa"/>
            <w:tcBorders>
              <w:bottom w:val="nil"/>
            </w:tcBorders>
            <w:vMerge w:val="restart"/>
          </w:tcPr>
          <w:p>
            <w:pPr>
              <w:pStyle w:val="0"/>
            </w:pPr>
            <w:r>
              <w:rPr>
                <w:sz w:val="20"/>
              </w:rPr>
              <w:t xml:space="preserve">Формирование и регулярное обновление информационно-справочных материалов по реализации Подпрограммы на информационном портале АИС "Соотечественники" (об уровне обеспеченности трудовыми ресурсами автономного округа, возможности трудоустройства и получения профессионального образования, оказании социальной поддержки, временном и постоянном жилищном обустройстве участников Государственной программы; об адресной и контактной информации органов власти, учреждений здравоохранения, сферы образования, культуры, социальных учреждений, спортивных учреждений и сооружений, организаций сферы торговли и услуг);</w:t>
            </w:r>
          </w:p>
          <w:p>
            <w:pPr>
              <w:pStyle w:val="0"/>
            </w:pPr>
            <w:r>
              <w:rPr>
                <w:sz w:val="20"/>
              </w:rPr>
              <w:t xml:space="preserve">организация мероприятий, направленных на распространение среди молодежи из числа соотечественников, проживающих за рубежом, и иностранных граждан информации об услугах образовательных организаций высшего образования автономного округа</w:t>
            </w:r>
          </w:p>
        </w:tc>
        <w:tc>
          <w:tcPr>
            <w:tcW w:w="2324" w:type="dxa"/>
            <w:tcBorders>
              <w:bottom w:val="nil"/>
            </w:tcBorders>
            <w:vMerge w:val="restart"/>
          </w:tcPr>
          <w:p>
            <w:pPr>
              <w:pStyle w:val="0"/>
            </w:pPr>
            <w:r>
              <w:rPr>
                <w:sz w:val="20"/>
              </w:rPr>
              <w:t xml:space="preserve">Уполномоченный орган Югры; Депобразования и науки Югры; Депсоцразвития Югры; Департамент общественных, внешних связей и молодежи Югры</w:t>
            </w:r>
          </w:p>
        </w:tc>
        <w:tc>
          <w:tcPr>
            <w:tcW w:w="1587" w:type="dxa"/>
          </w:tcPr>
          <w:p>
            <w:pPr>
              <w:pStyle w:val="0"/>
            </w:pPr>
            <w:r>
              <w:rPr>
                <w:sz w:val="20"/>
              </w:rPr>
              <w:t xml:space="preserve">всего</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1587" w:type="dxa"/>
            <w:tcBorders>
              <w:bottom w:val="nil"/>
            </w:tcBorders>
          </w:tcPr>
          <w:p>
            <w:pPr>
              <w:pStyle w:val="0"/>
            </w:pPr>
            <w:r>
              <w:rPr>
                <w:sz w:val="20"/>
              </w:rPr>
              <w:t xml:space="preserve">бюджет автономного округа</w:t>
            </w:r>
          </w:p>
        </w:tc>
        <w:tc>
          <w:tcPr>
            <w:tcW w:w="1134" w:type="dxa"/>
            <w:tcBorders>
              <w:bottom w:val="nil"/>
            </w:tcBorders>
          </w:tcPr>
          <w:p>
            <w:pPr>
              <w:pStyle w:val="0"/>
            </w:pPr>
            <w:r>
              <w:rPr>
                <w:sz w:val="20"/>
              </w:rPr>
              <w:t xml:space="preserve">0,0</w:t>
            </w:r>
          </w:p>
        </w:tc>
        <w:tc>
          <w:tcPr>
            <w:tcW w:w="1134" w:type="dxa"/>
            <w:tcBorders>
              <w:bottom w:val="nil"/>
            </w:tcBorders>
          </w:tcPr>
          <w:p>
            <w:pPr>
              <w:pStyle w:val="0"/>
            </w:pPr>
            <w:r>
              <w:rPr>
                <w:sz w:val="20"/>
              </w:rPr>
              <w:t xml:space="preserve">0,0</w:t>
            </w:r>
          </w:p>
        </w:tc>
        <w:tc>
          <w:tcPr>
            <w:tcW w:w="1134" w:type="dxa"/>
            <w:tcBorders>
              <w:bottom w:val="nil"/>
            </w:tcBorders>
          </w:tcPr>
          <w:p>
            <w:pPr>
              <w:pStyle w:val="0"/>
            </w:pPr>
            <w:r>
              <w:rPr>
                <w:sz w:val="20"/>
              </w:rPr>
              <w:t xml:space="preserve">0,0</w:t>
            </w:r>
          </w:p>
        </w:tc>
        <w:tc>
          <w:tcPr>
            <w:tcW w:w="1134" w:type="dxa"/>
            <w:tcBorders>
              <w:bottom w:val="nil"/>
            </w:tcBorders>
          </w:tcPr>
          <w:p>
            <w:pPr>
              <w:pStyle w:val="0"/>
            </w:pPr>
            <w:r>
              <w:rPr>
                <w:sz w:val="20"/>
              </w:rPr>
              <w:t xml:space="preserve">0,0</w:t>
            </w:r>
          </w:p>
        </w:tc>
        <w:tc>
          <w:tcPr>
            <w:tcW w:w="1275" w:type="dxa"/>
            <w:tcBorders>
              <w:bottom w:val="nil"/>
            </w:tcBorders>
          </w:tcPr>
          <w:p>
            <w:pPr>
              <w:pStyle w:val="0"/>
            </w:pPr>
            <w:r>
              <w:rPr>
                <w:sz w:val="20"/>
              </w:rPr>
              <w:t xml:space="preserve">0,0</w:t>
            </w:r>
          </w:p>
        </w:tc>
      </w:tr>
      <w:tr>
        <w:tblPrEx>
          <w:tblBorders>
            <w:insideH w:val="nil"/>
          </w:tblBorders>
        </w:tblPrEx>
        <w:tc>
          <w:tcPr>
            <w:gridSpan w:val="9"/>
            <w:tcW w:w="13924" w:type="dxa"/>
            <w:tcBorders>
              <w:top w:val="nil"/>
            </w:tcBorders>
          </w:tcPr>
          <w:p>
            <w:pPr>
              <w:pStyle w:val="0"/>
              <w:jc w:val="both"/>
            </w:pPr>
            <w:r>
              <w:rPr>
                <w:sz w:val="20"/>
              </w:rPr>
              <w:t xml:space="preserve">(в ред. </w:t>
            </w:r>
            <w:hyperlink w:history="0" r:id="rId9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704" w:type="dxa"/>
            <w:vMerge w:val="restart"/>
          </w:tcPr>
          <w:p>
            <w:pPr>
              <w:pStyle w:val="0"/>
            </w:pPr>
            <w:r>
              <w:rPr>
                <w:sz w:val="20"/>
              </w:rPr>
              <w:t xml:space="preserve">2.</w:t>
            </w:r>
          </w:p>
        </w:tc>
        <w:tc>
          <w:tcPr>
            <w:tcW w:w="3498" w:type="dxa"/>
            <w:vMerge w:val="restart"/>
          </w:tcPr>
          <w:p>
            <w:pPr>
              <w:pStyle w:val="0"/>
            </w:pPr>
            <w:r>
              <w:rPr>
                <w:sz w:val="20"/>
              </w:rPr>
              <w:t xml:space="preserve">Организация консультаций для участников Государственной программы и членов их семей по вопросам участия в Подпрограмме, жилищного обустройства, предоставления услуг государственных и муниципальных дошкольных образовательных организаций, общего и профессионального образования, социального обслуживания, здравоохранения и услуги государственной службы занятости</w:t>
            </w:r>
          </w:p>
        </w:tc>
        <w:tc>
          <w:tcPr>
            <w:tcW w:w="2324" w:type="dxa"/>
            <w:vMerge w:val="restart"/>
          </w:tcPr>
          <w:p>
            <w:pPr>
              <w:pStyle w:val="0"/>
            </w:pPr>
            <w:r>
              <w:rPr>
                <w:sz w:val="20"/>
              </w:rPr>
              <w:t xml:space="preserve">Уполномоченный орган Югры</w:t>
            </w:r>
          </w:p>
        </w:tc>
        <w:tc>
          <w:tcPr>
            <w:tcW w:w="1587" w:type="dxa"/>
          </w:tcPr>
          <w:p>
            <w:pPr>
              <w:pStyle w:val="0"/>
            </w:pPr>
            <w:r>
              <w:rPr>
                <w:sz w:val="20"/>
              </w:rPr>
              <w:t xml:space="preserve">всего</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tcW w:w="704" w:type="dxa"/>
            <w:vMerge w:val="restart"/>
          </w:tcPr>
          <w:p>
            <w:pPr>
              <w:pStyle w:val="0"/>
            </w:pPr>
            <w:r>
              <w:rPr>
                <w:sz w:val="20"/>
              </w:rPr>
              <w:t xml:space="preserve">3.</w:t>
            </w:r>
          </w:p>
        </w:tc>
        <w:tc>
          <w:tcPr>
            <w:tcW w:w="3498" w:type="dxa"/>
            <w:vMerge w:val="restart"/>
          </w:tcPr>
          <w:p>
            <w:pPr>
              <w:pStyle w:val="0"/>
            </w:pPr>
            <w:r>
              <w:rPr>
                <w:sz w:val="20"/>
              </w:rPr>
              <w:t xml:space="preserve">Содействие жилищному обустройству участников Государственной программы</w:t>
            </w:r>
          </w:p>
        </w:tc>
        <w:tc>
          <w:tcPr>
            <w:tcW w:w="2324" w:type="dxa"/>
            <w:vMerge w:val="restart"/>
          </w:tcPr>
          <w:p>
            <w:pPr>
              <w:pStyle w:val="0"/>
            </w:pPr>
            <w:r>
              <w:rPr>
                <w:sz w:val="20"/>
              </w:rPr>
              <w:t xml:space="preserve">Уполномоченный орган Югры</w:t>
            </w:r>
          </w:p>
        </w:tc>
        <w:tc>
          <w:tcPr>
            <w:tcW w:w="1587" w:type="dxa"/>
          </w:tcPr>
          <w:p>
            <w:pPr>
              <w:pStyle w:val="0"/>
            </w:pPr>
            <w:r>
              <w:rPr>
                <w:sz w:val="20"/>
              </w:rPr>
              <w:t xml:space="preserve">всего</w:t>
            </w:r>
          </w:p>
        </w:tc>
        <w:tc>
          <w:tcPr>
            <w:tcW w:w="1134" w:type="dxa"/>
          </w:tcPr>
          <w:p>
            <w:pPr>
              <w:pStyle w:val="0"/>
            </w:pPr>
            <w:r>
              <w:rPr>
                <w:sz w:val="20"/>
              </w:rPr>
              <w:t xml:space="preserve">43826,1</w:t>
            </w:r>
          </w:p>
        </w:tc>
        <w:tc>
          <w:tcPr>
            <w:tcW w:w="1134" w:type="dxa"/>
          </w:tcPr>
          <w:p>
            <w:pPr>
              <w:pStyle w:val="0"/>
            </w:pPr>
            <w:r>
              <w:rPr>
                <w:sz w:val="20"/>
              </w:rPr>
              <w:t xml:space="preserve">11068,8</w:t>
            </w:r>
          </w:p>
        </w:tc>
        <w:tc>
          <w:tcPr>
            <w:tcW w:w="1134" w:type="dxa"/>
          </w:tcPr>
          <w:p>
            <w:pPr>
              <w:pStyle w:val="0"/>
            </w:pPr>
            <w:r>
              <w:rPr>
                <w:sz w:val="20"/>
              </w:rPr>
              <w:t xml:space="preserve">11170,5</w:t>
            </w:r>
          </w:p>
        </w:tc>
        <w:tc>
          <w:tcPr>
            <w:tcW w:w="1134" w:type="dxa"/>
          </w:tcPr>
          <w:p>
            <w:pPr>
              <w:pStyle w:val="0"/>
            </w:pPr>
            <w:r>
              <w:rPr>
                <w:sz w:val="20"/>
              </w:rPr>
              <w:t xml:space="preserve">11300,1</w:t>
            </w:r>
          </w:p>
        </w:tc>
        <w:tc>
          <w:tcPr>
            <w:tcW w:w="1275" w:type="dxa"/>
          </w:tcPr>
          <w:p>
            <w:pPr>
              <w:pStyle w:val="0"/>
            </w:pPr>
            <w:r>
              <w:rPr>
                <w:sz w:val="20"/>
              </w:rPr>
              <w:t xml:space="preserve">10286,7</w:t>
            </w:r>
          </w:p>
        </w:tc>
      </w:tr>
      <w:tr>
        <w:tc>
          <w:tcPr>
            <w:vMerge w:val="continue"/>
          </w:tcPr>
          <w:p/>
        </w:tc>
        <w:tc>
          <w:tcPr>
            <w:vMerge w:val="continue"/>
          </w:tcPr>
          <w:p/>
        </w:tc>
        <w:tc>
          <w:tcPr>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2679,3</w:t>
            </w:r>
          </w:p>
        </w:tc>
        <w:tc>
          <w:tcPr>
            <w:tcW w:w="1134" w:type="dxa"/>
          </w:tcPr>
          <w:p>
            <w:pPr>
              <w:pStyle w:val="0"/>
            </w:pPr>
            <w:r>
              <w:rPr>
                <w:sz w:val="20"/>
              </w:rPr>
              <w:t xml:space="preserve">782,1</w:t>
            </w:r>
          </w:p>
        </w:tc>
        <w:tc>
          <w:tcPr>
            <w:tcW w:w="1134" w:type="dxa"/>
          </w:tcPr>
          <w:p>
            <w:pPr>
              <w:pStyle w:val="0"/>
            </w:pPr>
            <w:r>
              <w:rPr>
                <w:sz w:val="20"/>
              </w:rPr>
              <w:t xml:space="preserve">883,8</w:t>
            </w:r>
          </w:p>
        </w:tc>
        <w:tc>
          <w:tcPr>
            <w:tcW w:w="1134" w:type="dxa"/>
          </w:tcPr>
          <w:p>
            <w:pPr>
              <w:pStyle w:val="0"/>
            </w:pPr>
            <w:r>
              <w:rPr>
                <w:sz w:val="20"/>
              </w:rPr>
              <w:t xml:space="preserve">1013,4</w:t>
            </w:r>
          </w:p>
        </w:tc>
        <w:tc>
          <w:tcPr>
            <w:tcW w:w="1275" w:type="dxa"/>
          </w:tcPr>
          <w:p>
            <w:pPr>
              <w:pStyle w:val="0"/>
            </w:pPr>
            <w:r>
              <w:rPr>
                <w:sz w:val="20"/>
              </w:rPr>
            </w:r>
          </w:p>
        </w:tc>
      </w:tr>
      <w:tr>
        <w:tc>
          <w:tcPr>
            <w:vMerge w:val="continue"/>
          </w:tcPr>
          <w:p/>
        </w:tc>
        <w:tc>
          <w:tcPr>
            <w:vMerge w:val="continue"/>
          </w:tcPr>
          <w:p/>
        </w:tc>
        <w:tc>
          <w:tcPr>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41146,8</w:t>
            </w:r>
          </w:p>
        </w:tc>
        <w:tc>
          <w:tcPr>
            <w:tcW w:w="1134" w:type="dxa"/>
          </w:tcPr>
          <w:p>
            <w:pPr>
              <w:pStyle w:val="0"/>
            </w:pPr>
            <w:r>
              <w:rPr>
                <w:sz w:val="20"/>
              </w:rPr>
              <w:t xml:space="preserve">10286,7</w:t>
            </w:r>
          </w:p>
        </w:tc>
        <w:tc>
          <w:tcPr>
            <w:tcW w:w="1134" w:type="dxa"/>
          </w:tcPr>
          <w:p>
            <w:pPr>
              <w:pStyle w:val="0"/>
            </w:pPr>
            <w:r>
              <w:rPr>
                <w:sz w:val="20"/>
              </w:rPr>
              <w:t xml:space="preserve">10286,7</w:t>
            </w:r>
          </w:p>
        </w:tc>
        <w:tc>
          <w:tcPr>
            <w:tcW w:w="1134" w:type="dxa"/>
          </w:tcPr>
          <w:p>
            <w:pPr>
              <w:pStyle w:val="0"/>
            </w:pPr>
            <w:r>
              <w:rPr>
                <w:sz w:val="20"/>
              </w:rPr>
              <w:t xml:space="preserve">10286,7</w:t>
            </w:r>
          </w:p>
        </w:tc>
        <w:tc>
          <w:tcPr>
            <w:tcW w:w="1275" w:type="dxa"/>
          </w:tcPr>
          <w:p>
            <w:pPr>
              <w:pStyle w:val="0"/>
            </w:pPr>
            <w:r>
              <w:rPr>
                <w:sz w:val="20"/>
              </w:rPr>
              <w:t xml:space="preserve">10286,7</w:t>
            </w:r>
          </w:p>
        </w:tc>
      </w:tr>
      <w:tr>
        <w:tc>
          <w:tcPr>
            <w:tcW w:w="704" w:type="dxa"/>
            <w:vMerge w:val="restart"/>
          </w:tcPr>
          <w:p>
            <w:pPr>
              <w:pStyle w:val="0"/>
            </w:pPr>
            <w:r>
              <w:rPr>
                <w:sz w:val="20"/>
              </w:rPr>
              <w:t xml:space="preserve">3.1.</w:t>
            </w:r>
          </w:p>
        </w:tc>
        <w:tc>
          <w:tcPr>
            <w:tcW w:w="3498" w:type="dxa"/>
            <w:vMerge w:val="restart"/>
          </w:tcPr>
          <w:p>
            <w:pPr>
              <w:pStyle w:val="0"/>
            </w:pPr>
            <w:r>
              <w:rPr>
                <w:sz w:val="20"/>
              </w:rPr>
              <w:t xml:space="preserve">Предоставление компенсации расходов участникам Государственной программы по найму жилья</w:t>
            </w:r>
          </w:p>
        </w:tc>
        <w:tc>
          <w:tcPr>
            <w:tcW w:w="2324" w:type="dxa"/>
            <w:vMerge w:val="restart"/>
          </w:tcPr>
          <w:p>
            <w:pPr>
              <w:pStyle w:val="0"/>
            </w:pPr>
            <w:r>
              <w:rPr>
                <w:sz w:val="20"/>
              </w:rPr>
              <w:t xml:space="preserve">Уполномоченный орган Югры</w:t>
            </w:r>
          </w:p>
        </w:tc>
        <w:tc>
          <w:tcPr>
            <w:tcW w:w="1587" w:type="dxa"/>
          </w:tcPr>
          <w:p>
            <w:pPr>
              <w:pStyle w:val="0"/>
            </w:pPr>
            <w:r>
              <w:rPr>
                <w:sz w:val="20"/>
              </w:rPr>
              <w:t xml:space="preserve">всего</w:t>
            </w:r>
          </w:p>
        </w:tc>
        <w:tc>
          <w:tcPr>
            <w:tcW w:w="1134" w:type="dxa"/>
          </w:tcPr>
          <w:p>
            <w:pPr>
              <w:pStyle w:val="0"/>
            </w:pPr>
            <w:r>
              <w:rPr>
                <w:sz w:val="20"/>
              </w:rPr>
              <w:t xml:space="preserve">43826,1</w:t>
            </w:r>
          </w:p>
        </w:tc>
        <w:tc>
          <w:tcPr>
            <w:tcW w:w="1134" w:type="dxa"/>
          </w:tcPr>
          <w:p>
            <w:pPr>
              <w:pStyle w:val="0"/>
            </w:pPr>
            <w:r>
              <w:rPr>
                <w:sz w:val="20"/>
              </w:rPr>
              <w:t xml:space="preserve">11068,8</w:t>
            </w:r>
          </w:p>
        </w:tc>
        <w:tc>
          <w:tcPr>
            <w:tcW w:w="1134" w:type="dxa"/>
          </w:tcPr>
          <w:p>
            <w:pPr>
              <w:pStyle w:val="0"/>
            </w:pPr>
            <w:r>
              <w:rPr>
                <w:sz w:val="20"/>
              </w:rPr>
              <w:t xml:space="preserve">11170,5</w:t>
            </w:r>
          </w:p>
        </w:tc>
        <w:tc>
          <w:tcPr>
            <w:tcW w:w="1134" w:type="dxa"/>
          </w:tcPr>
          <w:p>
            <w:pPr>
              <w:pStyle w:val="0"/>
            </w:pPr>
            <w:r>
              <w:rPr>
                <w:sz w:val="20"/>
              </w:rPr>
              <w:t xml:space="preserve">11300,1</w:t>
            </w:r>
          </w:p>
        </w:tc>
        <w:tc>
          <w:tcPr>
            <w:tcW w:w="1275" w:type="dxa"/>
          </w:tcPr>
          <w:p>
            <w:pPr>
              <w:pStyle w:val="0"/>
            </w:pPr>
            <w:r>
              <w:rPr>
                <w:sz w:val="20"/>
              </w:rPr>
              <w:t xml:space="preserve">10286,7</w:t>
            </w:r>
          </w:p>
        </w:tc>
      </w:tr>
      <w:tr>
        <w:tc>
          <w:tcPr>
            <w:vMerge w:val="continue"/>
          </w:tcPr>
          <w:p/>
        </w:tc>
        <w:tc>
          <w:tcPr>
            <w:vMerge w:val="continue"/>
          </w:tcPr>
          <w:p/>
        </w:tc>
        <w:tc>
          <w:tcPr>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2679,3</w:t>
            </w:r>
          </w:p>
        </w:tc>
        <w:tc>
          <w:tcPr>
            <w:tcW w:w="1134" w:type="dxa"/>
          </w:tcPr>
          <w:p>
            <w:pPr>
              <w:pStyle w:val="0"/>
            </w:pPr>
            <w:r>
              <w:rPr>
                <w:sz w:val="20"/>
              </w:rPr>
              <w:t xml:space="preserve">782,1</w:t>
            </w:r>
          </w:p>
        </w:tc>
        <w:tc>
          <w:tcPr>
            <w:tcW w:w="1134" w:type="dxa"/>
          </w:tcPr>
          <w:p>
            <w:pPr>
              <w:pStyle w:val="0"/>
            </w:pPr>
            <w:r>
              <w:rPr>
                <w:sz w:val="20"/>
              </w:rPr>
              <w:t xml:space="preserve">883,8</w:t>
            </w:r>
          </w:p>
        </w:tc>
        <w:tc>
          <w:tcPr>
            <w:tcW w:w="1134" w:type="dxa"/>
          </w:tcPr>
          <w:p>
            <w:pPr>
              <w:pStyle w:val="0"/>
            </w:pPr>
            <w:r>
              <w:rPr>
                <w:sz w:val="20"/>
              </w:rPr>
              <w:t xml:space="preserve">1013,4</w:t>
            </w:r>
          </w:p>
        </w:tc>
        <w:tc>
          <w:tcPr>
            <w:tcW w:w="1275" w:type="dxa"/>
          </w:tcPr>
          <w:p>
            <w:pPr>
              <w:pStyle w:val="0"/>
            </w:pPr>
            <w:r>
              <w:rPr>
                <w:sz w:val="20"/>
              </w:rPr>
            </w:r>
          </w:p>
        </w:tc>
      </w:tr>
      <w:tr>
        <w:tc>
          <w:tcPr>
            <w:vMerge w:val="continue"/>
          </w:tcPr>
          <w:p/>
        </w:tc>
        <w:tc>
          <w:tcPr>
            <w:vMerge w:val="continue"/>
          </w:tcPr>
          <w:p/>
        </w:tc>
        <w:tc>
          <w:tcPr>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41146,8</w:t>
            </w:r>
          </w:p>
        </w:tc>
        <w:tc>
          <w:tcPr>
            <w:tcW w:w="1134" w:type="dxa"/>
          </w:tcPr>
          <w:p>
            <w:pPr>
              <w:pStyle w:val="0"/>
            </w:pPr>
            <w:r>
              <w:rPr>
                <w:sz w:val="20"/>
              </w:rPr>
              <w:t xml:space="preserve">10286,7</w:t>
            </w:r>
          </w:p>
        </w:tc>
        <w:tc>
          <w:tcPr>
            <w:tcW w:w="1134" w:type="dxa"/>
          </w:tcPr>
          <w:p>
            <w:pPr>
              <w:pStyle w:val="0"/>
            </w:pPr>
            <w:r>
              <w:rPr>
                <w:sz w:val="20"/>
              </w:rPr>
              <w:t xml:space="preserve">10286,7</w:t>
            </w:r>
          </w:p>
        </w:tc>
        <w:tc>
          <w:tcPr>
            <w:tcW w:w="1134" w:type="dxa"/>
          </w:tcPr>
          <w:p>
            <w:pPr>
              <w:pStyle w:val="0"/>
            </w:pPr>
            <w:r>
              <w:rPr>
                <w:sz w:val="20"/>
              </w:rPr>
              <w:t xml:space="preserve">10286,7</w:t>
            </w:r>
          </w:p>
        </w:tc>
        <w:tc>
          <w:tcPr>
            <w:tcW w:w="1275" w:type="dxa"/>
          </w:tcPr>
          <w:p>
            <w:pPr>
              <w:pStyle w:val="0"/>
            </w:pPr>
            <w:r>
              <w:rPr>
                <w:sz w:val="20"/>
              </w:rPr>
              <w:t xml:space="preserve">10286,7</w:t>
            </w:r>
          </w:p>
        </w:tc>
      </w:tr>
      <w:tr>
        <w:tc>
          <w:tcPr>
            <w:tcW w:w="704" w:type="dxa"/>
            <w:vMerge w:val="restart"/>
          </w:tcPr>
          <w:p>
            <w:pPr>
              <w:pStyle w:val="0"/>
            </w:pPr>
            <w:r>
              <w:rPr>
                <w:sz w:val="20"/>
              </w:rPr>
              <w:t xml:space="preserve">3.2.</w:t>
            </w:r>
          </w:p>
        </w:tc>
        <w:tc>
          <w:tcPr>
            <w:tcW w:w="3498" w:type="dxa"/>
            <w:vMerge w:val="restart"/>
          </w:tcPr>
          <w:p>
            <w:pPr>
              <w:pStyle w:val="0"/>
            </w:pPr>
            <w:r>
              <w:rPr>
                <w:sz w:val="20"/>
              </w:rPr>
              <w:t xml:space="preserve">Информационно-разъяснительная работа среди участников Государственной программы по механизму приобретения жилья за счет средств ипотечных кредитов, собственных средств с использованием мер государственной поддержки, оказываемой в автономном округе</w:t>
            </w:r>
          </w:p>
        </w:tc>
        <w:tc>
          <w:tcPr>
            <w:tcW w:w="2324" w:type="dxa"/>
            <w:vMerge w:val="restart"/>
          </w:tcPr>
          <w:p>
            <w:pPr>
              <w:pStyle w:val="0"/>
            </w:pPr>
            <w:r>
              <w:rPr>
                <w:sz w:val="20"/>
              </w:rPr>
              <w:t xml:space="preserve">Уполномоченный орган Югры</w:t>
            </w:r>
          </w:p>
        </w:tc>
        <w:tc>
          <w:tcPr>
            <w:tcW w:w="1587" w:type="dxa"/>
          </w:tcPr>
          <w:p>
            <w:pPr>
              <w:pStyle w:val="0"/>
            </w:pPr>
            <w:r>
              <w:rPr>
                <w:sz w:val="20"/>
              </w:rPr>
              <w:t xml:space="preserve">всего</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tcW w:w="704" w:type="dxa"/>
            <w:vMerge w:val="restart"/>
          </w:tcPr>
          <w:p>
            <w:pPr>
              <w:pStyle w:val="0"/>
            </w:pPr>
            <w:r>
              <w:rPr>
                <w:sz w:val="20"/>
              </w:rPr>
              <w:t xml:space="preserve">4.</w:t>
            </w:r>
          </w:p>
        </w:tc>
        <w:tc>
          <w:tcPr>
            <w:tcW w:w="3498" w:type="dxa"/>
            <w:vMerge w:val="restart"/>
          </w:tcPr>
          <w:p>
            <w:pPr>
              <w:pStyle w:val="0"/>
            </w:pPr>
            <w:r>
              <w:rPr>
                <w:sz w:val="20"/>
              </w:rPr>
              <w:t xml:space="preserve">Оказание бесплатной медицинской помощи участникам Государственной программы и членам их семей до и после получения разрешения на временное проживание или до оформления гражданства Российской Федерации</w:t>
            </w:r>
          </w:p>
        </w:tc>
        <w:tc>
          <w:tcPr>
            <w:tcW w:w="2324" w:type="dxa"/>
            <w:vMerge w:val="restart"/>
          </w:tcPr>
          <w:p>
            <w:pPr>
              <w:pStyle w:val="0"/>
            </w:pPr>
            <w:r>
              <w:rPr>
                <w:sz w:val="20"/>
              </w:rPr>
              <w:t xml:space="preserve">Депздрав Югры</w:t>
            </w:r>
          </w:p>
        </w:tc>
        <w:tc>
          <w:tcPr>
            <w:tcW w:w="1587" w:type="dxa"/>
          </w:tcPr>
          <w:p>
            <w:pPr>
              <w:pStyle w:val="0"/>
            </w:pPr>
            <w:r>
              <w:rPr>
                <w:sz w:val="20"/>
              </w:rPr>
              <w:t xml:space="preserve">всего</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tcW w:w="704" w:type="dxa"/>
            <w:vMerge w:val="restart"/>
          </w:tcPr>
          <w:p>
            <w:pPr>
              <w:pStyle w:val="0"/>
            </w:pPr>
            <w:r>
              <w:rPr>
                <w:sz w:val="20"/>
              </w:rPr>
              <w:t xml:space="preserve">5.</w:t>
            </w:r>
          </w:p>
        </w:tc>
        <w:tc>
          <w:tcPr>
            <w:tcW w:w="3498" w:type="dxa"/>
            <w:vMerge w:val="restart"/>
          </w:tcPr>
          <w:p>
            <w:pPr>
              <w:pStyle w:val="0"/>
            </w:pPr>
            <w:r>
              <w:rPr>
                <w:sz w:val="20"/>
              </w:rPr>
              <w:t xml:space="preserve">Формирование банка вакансий для участников Государственной программы и размещение его на официальных веб-ресурсах органов государственной власти автономного округа</w:t>
            </w:r>
          </w:p>
        </w:tc>
        <w:tc>
          <w:tcPr>
            <w:tcW w:w="2324" w:type="dxa"/>
            <w:vMerge w:val="restart"/>
          </w:tcPr>
          <w:p>
            <w:pPr>
              <w:pStyle w:val="0"/>
            </w:pPr>
            <w:r>
              <w:rPr>
                <w:sz w:val="20"/>
              </w:rPr>
              <w:t xml:space="preserve">Уполномоченный орган Югры</w:t>
            </w:r>
          </w:p>
        </w:tc>
        <w:tc>
          <w:tcPr>
            <w:tcW w:w="1587" w:type="dxa"/>
          </w:tcPr>
          <w:p>
            <w:pPr>
              <w:pStyle w:val="0"/>
            </w:pPr>
            <w:r>
              <w:rPr>
                <w:sz w:val="20"/>
              </w:rPr>
              <w:t xml:space="preserve">всего</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tcW w:w="704" w:type="dxa"/>
            <w:vMerge w:val="restart"/>
          </w:tcPr>
          <w:p>
            <w:pPr>
              <w:pStyle w:val="0"/>
            </w:pPr>
            <w:r>
              <w:rPr>
                <w:sz w:val="20"/>
              </w:rPr>
              <w:t xml:space="preserve">6.</w:t>
            </w:r>
          </w:p>
        </w:tc>
        <w:tc>
          <w:tcPr>
            <w:tcW w:w="3498" w:type="dxa"/>
            <w:vMerge w:val="restart"/>
          </w:tcPr>
          <w:p>
            <w:pPr>
              <w:pStyle w:val="0"/>
            </w:pPr>
            <w:r>
              <w:rPr>
                <w:sz w:val="20"/>
              </w:rPr>
              <w:t xml:space="preserve">Предоставление участникам Государственной программы и членам их семей государственных услуг в области содействия занятости в соответствии с действующим законодательством Российской Федерации. Оказание им поддержки в осуществлении малого и среднего предпринимательства, включая создание крестьянских (фермерских) хозяйств, в соответствии с действующими государственными программами автономного округа</w:t>
            </w:r>
          </w:p>
        </w:tc>
        <w:tc>
          <w:tcPr>
            <w:tcW w:w="2324" w:type="dxa"/>
            <w:vMerge w:val="restart"/>
          </w:tcPr>
          <w:p>
            <w:pPr>
              <w:pStyle w:val="0"/>
            </w:pPr>
            <w:r>
              <w:rPr>
                <w:sz w:val="20"/>
              </w:rPr>
              <w:t xml:space="preserve">Уполномоченный орган Югры</w:t>
            </w:r>
          </w:p>
        </w:tc>
        <w:tc>
          <w:tcPr>
            <w:tcW w:w="1587" w:type="dxa"/>
          </w:tcPr>
          <w:p>
            <w:pPr>
              <w:pStyle w:val="0"/>
            </w:pPr>
            <w:r>
              <w:rPr>
                <w:sz w:val="20"/>
              </w:rPr>
              <w:t xml:space="preserve">всего</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vMerge w:val="continue"/>
          </w:tcPr>
          <w:p/>
        </w:tc>
        <w:tc>
          <w:tcPr>
            <w:vMerge w:val="continue"/>
          </w:tcPr>
          <w:p/>
        </w:tc>
        <w:tc>
          <w:tcPr>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c>
          <w:tcPr>
            <w:tcW w:w="704" w:type="dxa"/>
            <w:vMerge w:val="restart"/>
          </w:tcPr>
          <w:p>
            <w:pPr>
              <w:pStyle w:val="0"/>
            </w:pPr>
            <w:r>
              <w:rPr>
                <w:sz w:val="20"/>
              </w:rPr>
            </w:r>
          </w:p>
        </w:tc>
        <w:tc>
          <w:tcPr>
            <w:gridSpan w:val="2"/>
            <w:tcW w:w="5822" w:type="dxa"/>
            <w:vMerge w:val="restart"/>
          </w:tcPr>
          <w:p>
            <w:pPr>
              <w:pStyle w:val="0"/>
            </w:pPr>
            <w:r>
              <w:rPr>
                <w:sz w:val="20"/>
              </w:rPr>
              <w:t xml:space="preserve">Итого по Подпрограмме</w:t>
            </w:r>
          </w:p>
        </w:tc>
        <w:tc>
          <w:tcPr>
            <w:tcW w:w="1587" w:type="dxa"/>
          </w:tcPr>
          <w:p>
            <w:pPr>
              <w:pStyle w:val="0"/>
            </w:pPr>
            <w:r>
              <w:rPr>
                <w:sz w:val="20"/>
              </w:rPr>
              <w:t xml:space="preserve">всего</w:t>
            </w:r>
          </w:p>
        </w:tc>
        <w:tc>
          <w:tcPr>
            <w:tcW w:w="1134" w:type="dxa"/>
          </w:tcPr>
          <w:p>
            <w:pPr>
              <w:pStyle w:val="0"/>
            </w:pPr>
            <w:r>
              <w:rPr>
                <w:sz w:val="20"/>
              </w:rPr>
              <w:t xml:space="preserve">46586,1</w:t>
            </w:r>
          </w:p>
        </w:tc>
        <w:tc>
          <w:tcPr>
            <w:tcW w:w="1134" w:type="dxa"/>
          </w:tcPr>
          <w:p>
            <w:pPr>
              <w:pStyle w:val="0"/>
            </w:pPr>
            <w:r>
              <w:rPr>
                <w:sz w:val="20"/>
              </w:rPr>
              <w:t xml:space="preserve">11758,8</w:t>
            </w:r>
          </w:p>
        </w:tc>
        <w:tc>
          <w:tcPr>
            <w:tcW w:w="1134" w:type="dxa"/>
          </w:tcPr>
          <w:p>
            <w:pPr>
              <w:pStyle w:val="0"/>
            </w:pPr>
            <w:r>
              <w:rPr>
                <w:sz w:val="20"/>
              </w:rPr>
              <w:t xml:space="preserve">11860,5</w:t>
            </w:r>
          </w:p>
        </w:tc>
        <w:tc>
          <w:tcPr>
            <w:tcW w:w="1134" w:type="dxa"/>
          </w:tcPr>
          <w:p>
            <w:pPr>
              <w:pStyle w:val="0"/>
            </w:pPr>
            <w:r>
              <w:rPr>
                <w:sz w:val="20"/>
              </w:rPr>
              <w:t xml:space="preserve">11990,1</w:t>
            </w:r>
          </w:p>
        </w:tc>
        <w:tc>
          <w:tcPr>
            <w:tcW w:w="1275" w:type="dxa"/>
          </w:tcPr>
          <w:p>
            <w:pPr>
              <w:pStyle w:val="0"/>
            </w:pPr>
            <w:r>
              <w:rPr>
                <w:sz w:val="20"/>
              </w:rPr>
              <w:t xml:space="preserve">10976,7</w:t>
            </w:r>
          </w:p>
        </w:tc>
      </w:tr>
      <w:tr>
        <w:tc>
          <w:tcPr>
            <w:vMerge w:val="continue"/>
          </w:tcPr>
          <w:p/>
        </w:tc>
        <w:tc>
          <w:tcPr>
            <w:gridSpan w:val="2"/>
            <w:vMerge w:val="continue"/>
          </w:tcPr>
          <w:p/>
        </w:tc>
        <w:tc>
          <w:tcPr>
            <w:tcW w:w="1587" w:type="dxa"/>
          </w:tcPr>
          <w:p>
            <w:pPr>
              <w:pStyle w:val="0"/>
            </w:pPr>
            <w:r>
              <w:rPr>
                <w:sz w:val="20"/>
              </w:rPr>
              <w:t xml:space="preserve">федеральный бюджет</w:t>
            </w:r>
          </w:p>
        </w:tc>
        <w:tc>
          <w:tcPr>
            <w:tcW w:w="1134" w:type="dxa"/>
          </w:tcPr>
          <w:p>
            <w:pPr>
              <w:pStyle w:val="0"/>
            </w:pPr>
            <w:r>
              <w:rPr>
                <w:sz w:val="20"/>
              </w:rPr>
              <w:t xml:space="preserve">2679,3</w:t>
            </w:r>
          </w:p>
        </w:tc>
        <w:tc>
          <w:tcPr>
            <w:tcW w:w="1134" w:type="dxa"/>
          </w:tcPr>
          <w:p>
            <w:pPr>
              <w:pStyle w:val="0"/>
            </w:pPr>
            <w:r>
              <w:rPr>
                <w:sz w:val="20"/>
              </w:rPr>
              <w:t xml:space="preserve">782,1</w:t>
            </w:r>
          </w:p>
        </w:tc>
        <w:tc>
          <w:tcPr>
            <w:tcW w:w="1134" w:type="dxa"/>
          </w:tcPr>
          <w:p>
            <w:pPr>
              <w:pStyle w:val="0"/>
            </w:pPr>
            <w:r>
              <w:rPr>
                <w:sz w:val="20"/>
              </w:rPr>
              <w:t xml:space="preserve">883,8</w:t>
            </w:r>
          </w:p>
        </w:tc>
        <w:tc>
          <w:tcPr>
            <w:tcW w:w="1134" w:type="dxa"/>
          </w:tcPr>
          <w:p>
            <w:pPr>
              <w:pStyle w:val="0"/>
            </w:pPr>
            <w:r>
              <w:rPr>
                <w:sz w:val="20"/>
              </w:rPr>
              <w:t xml:space="preserve">1013,4</w:t>
            </w:r>
          </w:p>
        </w:tc>
        <w:tc>
          <w:tcPr>
            <w:tcW w:w="1275" w:type="dxa"/>
          </w:tcPr>
          <w:p>
            <w:pPr>
              <w:pStyle w:val="0"/>
            </w:pPr>
            <w:r>
              <w:rPr>
                <w:sz w:val="20"/>
              </w:rPr>
              <w:t xml:space="preserve">0,0</w:t>
            </w:r>
          </w:p>
        </w:tc>
      </w:tr>
      <w:tr>
        <w:tc>
          <w:tcPr>
            <w:vMerge w:val="continue"/>
          </w:tcPr>
          <w:p/>
        </w:tc>
        <w:tc>
          <w:tcPr>
            <w:gridSpan w:val="2"/>
            <w:vMerge w:val="continue"/>
          </w:tcPr>
          <w:p/>
        </w:tc>
        <w:tc>
          <w:tcPr>
            <w:tcW w:w="1587" w:type="dxa"/>
          </w:tcPr>
          <w:p>
            <w:pPr>
              <w:pStyle w:val="0"/>
            </w:pPr>
            <w:r>
              <w:rPr>
                <w:sz w:val="20"/>
              </w:rPr>
              <w:t xml:space="preserve">бюджет автономного округа</w:t>
            </w:r>
          </w:p>
        </w:tc>
        <w:tc>
          <w:tcPr>
            <w:tcW w:w="1134" w:type="dxa"/>
          </w:tcPr>
          <w:p>
            <w:pPr>
              <w:pStyle w:val="0"/>
            </w:pPr>
            <w:r>
              <w:rPr>
                <w:sz w:val="20"/>
              </w:rPr>
              <w:t xml:space="preserve">43906,8</w:t>
            </w:r>
          </w:p>
        </w:tc>
        <w:tc>
          <w:tcPr>
            <w:tcW w:w="1134" w:type="dxa"/>
          </w:tcPr>
          <w:p>
            <w:pPr>
              <w:pStyle w:val="0"/>
            </w:pPr>
            <w:r>
              <w:rPr>
                <w:sz w:val="20"/>
              </w:rPr>
              <w:t xml:space="preserve">10976,7</w:t>
            </w:r>
          </w:p>
        </w:tc>
        <w:tc>
          <w:tcPr>
            <w:tcW w:w="1134" w:type="dxa"/>
          </w:tcPr>
          <w:p>
            <w:pPr>
              <w:pStyle w:val="0"/>
            </w:pPr>
            <w:r>
              <w:rPr>
                <w:sz w:val="20"/>
              </w:rPr>
              <w:t xml:space="preserve">10976,7</w:t>
            </w:r>
          </w:p>
        </w:tc>
        <w:tc>
          <w:tcPr>
            <w:tcW w:w="1134" w:type="dxa"/>
          </w:tcPr>
          <w:p>
            <w:pPr>
              <w:pStyle w:val="0"/>
            </w:pPr>
            <w:r>
              <w:rPr>
                <w:sz w:val="20"/>
              </w:rPr>
              <w:t xml:space="preserve">10976,7</w:t>
            </w:r>
          </w:p>
        </w:tc>
        <w:tc>
          <w:tcPr>
            <w:tcW w:w="1275" w:type="dxa"/>
          </w:tcPr>
          <w:p>
            <w:pPr>
              <w:pStyle w:val="0"/>
            </w:pPr>
            <w:r>
              <w:rPr>
                <w:sz w:val="20"/>
              </w:rPr>
              <w:t xml:space="preserve">10976,7</w:t>
            </w:r>
          </w:p>
        </w:tc>
      </w:tr>
      <w:tr>
        <w:tc>
          <w:tcPr>
            <w:tcW w:w="704" w:type="dxa"/>
          </w:tcPr>
          <w:p>
            <w:pPr>
              <w:pStyle w:val="0"/>
            </w:pPr>
            <w:r>
              <w:rPr>
                <w:sz w:val="20"/>
              </w:rPr>
            </w:r>
          </w:p>
        </w:tc>
        <w:tc>
          <w:tcPr>
            <w:gridSpan w:val="2"/>
            <w:tcW w:w="5822" w:type="dxa"/>
          </w:tcPr>
          <w:p>
            <w:pPr>
              <w:pStyle w:val="0"/>
            </w:pPr>
            <w:r>
              <w:rPr>
                <w:sz w:val="20"/>
              </w:rPr>
              <w:t xml:space="preserve">В том числе:</w:t>
            </w:r>
          </w:p>
        </w:tc>
        <w:tc>
          <w:tcPr>
            <w:tcW w:w="158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275" w:type="dxa"/>
          </w:tcPr>
          <w:p>
            <w:pPr>
              <w:pStyle w:val="0"/>
            </w:pPr>
            <w:r>
              <w:rPr>
                <w:sz w:val="20"/>
              </w:rPr>
            </w:r>
          </w:p>
        </w:tc>
      </w:tr>
      <w:tr>
        <w:tc>
          <w:tcPr>
            <w:tcW w:w="704" w:type="dxa"/>
          </w:tcPr>
          <w:p>
            <w:pPr>
              <w:pStyle w:val="0"/>
            </w:pPr>
            <w:r>
              <w:rPr>
                <w:sz w:val="20"/>
              </w:rPr>
            </w:r>
          </w:p>
        </w:tc>
        <w:tc>
          <w:tcPr>
            <w:gridSpan w:val="2"/>
            <w:tcW w:w="5822" w:type="dxa"/>
          </w:tcPr>
          <w:p>
            <w:pPr>
              <w:pStyle w:val="0"/>
            </w:pPr>
            <w:r>
              <w:rPr>
                <w:sz w:val="20"/>
              </w:rPr>
              <w:t xml:space="preserve">Ответственный исполнитель Уполномоченный орган Югры</w:t>
            </w:r>
          </w:p>
        </w:tc>
        <w:tc>
          <w:tcPr>
            <w:tcW w:w="1587" w:type="dxa"/>
          </w:tcPr>
          <w:p>
            <w:pPr>
              <w:pStyle w:val="0"/>
            </w:pPr>
            <w:r>
              <w:rPr>
                <w:sz w:val="20"/>
              </w:rPr>
            </w:r>
          </w:p>
        </w:tc>
        <w:tc>
          <w:tcPr>
            <w:tcW w:w="1134" w:type="dxa"/>
          </w:tcPr>
          <w:p>
            <w:pPr>
              <w:pStyle w:val="0"/>
            </w:pPr>
            <w:r>
              <w:rPr>
                <w:sz w:val="20"/>
              </w:rPr>
              <w:t xml:space="preserve">43826,1</w:t>
            </w:r>
          </w:p>
        </w:tc>
        <w:tc>
          <w:tcPr>
            <w:tcW w:w="1134" w:type="dxa"/>
          </w:tcPr>
          <w:p>
            <w:pPr>
              <w:pStyle w:val="0"/>
            </w:pPr>
            <w:r>
              <w:rPr>
                <w:sz w:val="20"/>
              </w:rPr>
              <w:t xml:space="preserve">11068,8</w:t>
            </w:r>
          </w:p>
        </w:tc>
        <w:tc>
          <w:tcPr>
            <w:tcW w:w="1134" w:type="dxa"/>
          </w:tcPr>
          <w:p>
            <w:pPr>
              <w:pStyle w:val="0"/>
            </w:pPr>
            <w:r>
              <w:rPr>
                <w:sz w:val="20"/>
              </w:rPr>
              <w:t xml:space="preserve">11170,5</w:t>
            </w:r>
          </w:p>
        </w:tc>
        <w:tc>
          <w:tcPr>
            <w:tcW w:w="1134" w:type="dxa"/>
          </w:tcPr>
          <w:p>
            <w:pPr>
              <w:pStyle w:val="0"/>
            </w:pPr>
            <w:r>
              <w:rPr>
                <w:sz w:val="20"/>
              </w:rPr>
              <w:t xml:space="preserve">11300,1</w:t>
            </w:r>
          </w:p>
        </w:tc>
        <w:tc>
          <w:tcPr>
            <w:tcW w:w="1275" w:type="dxa"/>
          </w:tcPr>
          <w:p>
            <w:pPr>
              <w:pStyle w:val="0"/>
            </w:pPr>
            <w:r>
              <w:rPr>
                <w:sz w:val="20"/>
              </w:rPr>
              <w:t xml:space="preserve">10286,7</w:t>
            </w:r>
          </w:p>
        </w:tc>
      </w:tr>
      <w:tr>
        <w:tblPrEx>
          <w:tblBorders>
            <w:insideH w:val="nil"/>
          </w:tblBorders>
        </w:tblPrEx>
        <w:tc>
          <w:tcPr>
            <w:tcW w:w="704" w:type="dxa"/>
            <w:tcBorders>
              <w:bottom w:val="nil"/>
            </w:tcBorders>
          </w:tcPr>
          <w:p>
            <w:pPr>
              <w:pStyle w:val="0"/>
            </w:pPr>
            <w:r>
              <w:rPr>
                <w:sz w:val="20"/>
              </w:rPr>
            </w:r>
          </w:p>
        </w:tc>
        <w:tc>
          <w:tcPr>
            <w:gridSpan w:val="2"/>
            <w:tcW w:w="5822" w:type="dxa"/>
            <w:tcBorders>
              <w:bottom w:val="nil"/>
            </w:tcBorders>
          </w:tcPr>
          <w:p>
            <w:pPr>
              <w:pStyle w:val="0"/>
            </w:pPr>
            <w:r>
              <w:rPr>
                <w:sz w:val="20"/>
              </w:rPr>
              <w:t xml:space="preserve">Соисполнитель 1</w:t>
            </w:r>
          </w:p>
          <w:p>
            <w:pPr>
              <w:pStyle w:val="0"/>
            </w:pPr>
            <w:r>
              <w:rPr>
                <w:sz w:val="20"/>
              </w:rPr>
              <w:t xml:space="preserve">Департамент общественных, внешних связей и молодежной политики автономного округа</w:t>
            </w:r>
          </w:p>
        </w:tc>
        <w:tc>
          <w:tcPr>
            <w:tcW w:w="1587" w:type="dxa"/>
            <w:tcBorders>
              <w:bottom w:val="nil"/>
            </w:tcBorders>
          </w:tcPr>
          <w:p>
            <w:pPr>
              <w:pStyle w:val="0"/>
            </w:pPr>
            <w:r>
              <w:rPr>
                <w:sz w:val="20"/>
              </w:rPr>
            </w:r>
          </w:p>
        </w:tc>
        <w:tc>
          <w:tcPr>
            <w:tcW w:w="1134" w:type="dxa"/>
            <w:tcBorders>
              <w:bottom w:val="nil"/>
            </w:tcBorders>
          </w:tcPr>
          <w:p>
            <w:pPr>
              <w:pStyle w:val="0"/>
            </w:pPr>
            <w:r>
              <w:rPr>
                <w:sz w:val="20"/>
              </w:rPr>
              <w:t xml:space="preserve">2760,0</w:t>
            </w:r>
          </w:p>
        </w:tc>
        <w:tc>
          <w:tcPr>
            <w:tcW w:w="1134" w:type="dxa"/>
            <w:tcBorders>
              <w:bottom w:val="nil"/>
            </w:tcBorders>
          </w:tcPr>
          <w:p>
            <w:pPr>
              <w:pStyle w:val="0"/>
            </w:pPr>
            <w:r>
              <w:rPr>
                <w:sz w:val="20"/>
              </w:rPr>
              <w:t xml:space="preserve">690,0</w:t>
            </w:r>
          </w:p>
        </w:tc>
        <w:tc>
          <w:tcPr>
            <w:tcW w:w="1134" w:type="dxa"/>
            <w:tcBorders>
              <w:bottom w:val="nil"/>
            </w:tcBorders>
          </w:tcPr>
          <w:p>
            <w:pPr>
              <w:pStyle w:val="0"/>
            </w:pPr>
            <w:r>
              <w:rPr>
                <w:sz w:val="20"/>
              </w:rPr>
              <w:t xml:space="preserve">690,0</w:t>
            </w:r>
          </w:p>
        </w:tc>
        <w:tc>
          <w:tcPr>
            <w:tcW w:w="1134" w:type="dxa"/>
            <w:tcBorders>
              <w:bottom w:val="nil"/>
            </w:tcBorders>
          </w:tcPr>
          <w:p>
            <w:pPr>
              <w:pStyle w:val="0"/>
            </w:pPr>
            <w:r>
              <w:rPr>
                <w:sz w:val="20"/>
              </w:rPr>
              <w:t xml:space="preserve">690,0</w:t>
            </w:r>
          </w:p>
        </w:tc>
        <w:tc>
          <w:tcPr>
            <w:tcW w:w="1275" w:type="dxa"/>
            <w:tcBorders>
              <w:bottom w:val="nil"/>
            </w:tcBorders>
          </w:tcPr>
          <w:p>
            <w:pPr>
              <w:pStyle w:val="0"/>
            </w:pPr>
            <w:r>
              <w:rPr>
                <w:sz w:val="20"/>
              </w:rPr>
              <w:t xml:space="preserve">690,0</w:t>
            </w:r>
          </w:p>
        </w:tc>
      </w:tr>
      <w:tr>
        <w:tblPrEx>
          <w:tblBorders>
            <w:insideH w:val="nil"/>
          </w:tblBorders>
        </w:tblPrEx>
        <w:tc>
          <w:tcPr>
            <w:gridSpan w:val="9"/>
            <w:tcW w:w="13924" w:type="dxa"/>
            <w:tcBorders>
              <w:top w:val="nil"/>
            </w:tcBorders>
          </w:tcPr>
          <w:p>
            <w:pPr>
              <w:pStyle w:val="0"/>
              <w:jc w:val="both"/>
            </w:pPr>
            <w:r>
              <w:rPr>
                <w:sz w:val="20"/>
              </w:rPr>
              <w:t xml:space="preserve">(в ред. </w:t>
            </w:r>
            <w:hyperlink w:history="0" r:id="rId97"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704" w:type="dxa"/>
          </w:tcPr>
          <w:p>
            <w:pPr>
              <w:pStyle w:val="0"/>
            </w:pPr>
            <w:r>
              <w:rPr>
                <w:sz w:val="20"/>
              </w:rPr>
            </w:r>
          </w:p>
        </w:tc>
        <w:tc>
          <w:tcPr>
            <w:gridSpan w:val="2"/>
            <w:tcW w:w="5822" w:type="dxa"/>
          </w:tcPr>
          <w:p>
            <w:pPr>
              <w:pStyle w:val="0"/>
            </w:pPr>
            <w:r>
              <w:rPr>
                <w:sz w:val="20"/>
              </w:rPr>
              <w:t xml:space="preserve">Соисполнитель 2</w:t>
            </w:r>
          </w:p>
          <w:p>
            <w:pPr>
              <w:pStyle w:val="0"/>
            </w:pPr>
            <w:r>
              <w:rPr>
                <w:sz w:val="20"/>
              </w:rPr>
              <w:t xml:space="preserve">Департамент здравоохранения автономного округа</w:t>
            </w:r>
          </w:p>
        </w:tc>
        <w:tc>
          <w:tcPr>
            <w:tcW w:w="1587" w:type="dxa"/>
          </w:tcPr>
          <w:p>
            <w:pPr>
              <w:pStyle w:val="0"/>
            </w:pPr>
            <w:r>
              <w:rPr>
                <w:sz w:val="20"/>
              </w:rPr>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r>
        <w:tblPrEx>
          <w:tblBorders>
            <w:insideH w:val="nil"/>
          </w:tblBorders>
        </w:tblPrEx>
        <w:tc>
          <w:tcPr>
            <w:tcW w:w="704" w:type="dxa"/>
            <w:tcBorders>
              <w:bottom w:val="nil"/>
            </w:tcBorders>
          </w:tcPr>
          <w:p>
            <w:pPr>
              <w:pStyle w:val="0"/>
            </w:pPr>
            <w:r>
              <w:rPr>
                <w:sz w:val="20"/>
              </w:rPr>
            </w:r>
          </w:p>
        </w:tc>
        <w:tc>
          <w:tcPr>
            <w:gridSpan w:val="2"/>
            <w:tcW w:w="5822" w:type="dxa"/>
            <w:tcBorders>
              <w:bottom w:val="nil"/>
            </w:tcBorders>
          </w:tcPr>
          <w:p>
            <w:pPr>
              <w:pStyle w:val="0"/>
            </w:pPr>
            <w:r>
              <w:rPr>
                <w:sz w:val="20"/>
              </w:rPr>
              <w:t xml:space="preserve">Соисполнитель 3</w:t>
            </w:r>
          </w:p>
          <w:p>
            <w:pPr>
              <w:pStyle w:val="0"/>
            </w:pPr>
            <w:r>
              <w:rPr>
                <w:sz w:val="20"/>
              </w:rPr>
              <w:t xml:space="preserve">Департамент образования и науки автономного округа</w:t>
            </w:r>
          </w:p>
        </w:tc>
        <w:tc>
          <w:tcPr>
            <w:tcW w:w="1587" w:type="dxa"/>
            <w:tcBorders>
              <w:bottom w:val="nil"/>
            </w:tcBorders>
          </w:tcPr>
          <w:p>
            <w:pPr>
              <w:pStyle w:val="0"/>
            </w:pPr>
            <w:r>
              <w:rPr>
                <w:sz w:val="20"/>
              </w:rPr>
            </w:r>
          </w:p>
        </w:tc>
        <w:tc>
          <w:tcPr>
            <w:tcW w:w="1134" w:type="dxa"/>
            <w:tcBorders>
              <w:bottom w:val="nil"/>
            </w:tcBorders>
          </w:tcPr>
          <w:p>
            <w:pPr>
              <w:pStyle w:val="0"/>
            </w:pPr>
            <w:r>
              <w:rPr>
                <w:sz w:val="20"/>
              </w:rPr>
              <w:t xml:space="preserve">0,0</w:t>
            </w:r>
          </w:p>
        </w:tc>
        <w:tc>
          <w:tcPr>
            <w:tcW w:w="1134" w:type="dxa"/>
            <w:tcBorders>
              <w:bottom w:val="nil"/>
            </w:tcBorders>
          </w:tcPr>
          <w:p>
            <w:pPr>
              <w:pStyle w:val="0"/>
            </w:pPr>
            <w:r>
              <w:rPr>
                <w:sz w:val="20"/>
              </w:rPr>
              <w:t xml:space="preserve">0,0</w:t>
            </w:r>
          </w:p>
        </w:tc>
        <w:tc>
          <w:tcPr>
            <w:tcW w:w="1134" w:type="dxa"/>
            <w:tcBorders>
              <w:bottom w:val="nil"/>
            </w:tcBorders>
          </w:tcPr>
          <w:p>
            <w:pPr>
              <w:pStyle w:val="0"/>
            </w:pPr>
            <w:r>
              <w:rPr>
                <w:sz w:val="20"/>
              </w:rPr>
              <w:t xml:space="preserve">0,0</w:t>
            </w:r>
          </w:p>
        </w:tc>
        <w:tc>
          <w:tcPr>
            <w:tcW w:w="1134" w:type="dxa"/>
            <w:tcBorders>
              <w:bottom w:val="nil"/>
            </w:tcBorders>
          </w:tcPr>
          <w:p>
            <w:pPr>
              <w:pStyle w:val="0"/>
            </w:pPr>
            <w:r>
              <w:rPr>
                <w:sz w:val="20"/>
              </w:rPr>
              <w:t xml:space="preserve">0,0</w:t>
            </w:r>
          </w:p>
        </w:tc>
        <w:tc>
          <w:tcPr>
            <w:tcW w:w="1275" w:type="dxa"/>
            <w:tcBorders>
              <w:bottom w:val="nil"/>
            </w:tcBorders>
          </w:tcPr>
          <w:p>
            <w:pPr>
              <w:pStyle w:val="0"/>
            </w:pPr>
            <w:r>
              <w:rPr>
                <w:sz w:val="20"/>
              </w:rPr>
              <w:t xml:space="preserve">0,0</w:t>
            </w:r>
          </w:p>
        </w:tc>
      </w:tr>
      <w:tr>
        <w:tblPrEx>
          <w:tblBorders>
            <w:insideH w:val="nil"/>
          </w:tblBorders>
        </w:tblPrEx>
        <w:tc>
          <w:tcPr>
            <w:gridSpan w:val="9"/>
            <w:tcW w:w="13924" w:type="dxa"/>
            <w:tcBorders>
              <w:top w:val="nil"/>
            </w:tcBorders>
          </w:tcPr>
          <w:p>
            <w:pPr>
              <w:pStyle w:val="0"/>
              <w:jc w:val="both"/>
            </w:pPr>
            <w:r>
              <w:rPr>
                <w:sz w:val="20"/>
              </w:rPr>
              <w:t xml:space="preserve">(в ред. </w:t>
            </w:r>
            <w:hyperlink w:history="0" r:id="rId9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704" w:type="dxa"/>
          </w:tcPr>
          <w:p>
            <w:pPr>
              <w:pStyle w:val="0"/>
            </w:pPr>
            <w:r>
              <w:rPr>
                <w:sz w:val="20"/>
              </w:rPr>
            </w:r>
          </w:p>
        </w:tc>
        <w:tc>
          <w:tcPr>
            <w:gridSpan w:val="2"/>
            <w:tcW w:w="5822" w:type="dxa"/>
          </w:tcPr>
          <w:p>
            <w:pPr>
              <w:pStyle w:val="0"/>
            </w:pPr>
            <w:r>
              <w:rPr>
                <w:sz w:val="20"/>
              </w:rPr>
              <w:t xml:space="preserve">Соисполнитель 4</w:t>
            </w:r>
          </w:p>
          <w:p>
            <w:pPr>
              <w:pStyle w:val="0"/>
            </w:pPr>
            <w:r>
              <w:rPr>
                <w:sz w:val="20"/>
              </w:rPr>
              <w:t xml:space="preserve">Департамент социального развития автономного округа</w:t>
            </w:r>
          </w:p>
        </w:tc>
        <w:tc>
          <w:tcPr>
            <w:tcW w:w="1587" w:type="dxa"/>
          </w:tcPr>
          <w:p>
            <w:pPr>
              <w:pStyle w:val="0"/>
            </w:pPr>
            <w:r>
              <w:rPr>
                <w:sz w:val="20"/>
              </w:rPr>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134" w:type="dxa"/>
          </w:tcPr>
          <w:p>
            <w:pPr>
              <w:pStyle w:val="0"/>
            </w:pPr>
            <w:r>
              <w:rPr>
                <w:sz w:val="20"/>
              </w:rPr>
              <w:t xml:space="preserve">0,0</w:t>
            </w:r>
          </w:p>
        </w:tc>
        <w:tc>
          <w:tcPr>
            <w:tcW w:w="1275" w:type="dxa"/>
          </w:tcPr>
          <w:p>
            <w:pPr>
              <w:pStyle w:val="0"/>
            </w:pPr>
            <w:r>
              <w:rPr>
                <w:sz w:val="20"/>
              </w:rPr>
              <w:t xml:space="preserve">0,0</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outlineLvl w:val="1"/>
        <w:jc w:val="right"/>
      </w:pPr>
      <w:r>
        <w:rPr>
          <w:sz w:val="20"/>
        </w:rPr>
        <w:t xml:space="preserve">Таблица 4</w:t>
      </w:r>
    </w:p>
    <w:p>
      <w:pPr>
        <w:pStyle w:val="0"/>
        <w:jc w:val="both"/>
      </w:pPr>
      <w:r>
        <w:rPr>
          <w:sz w:val="20"/>
        </w:rPr>
      </w:r>
    </w:p>
    <w:p>
      <w:pPr>
        <w:pStyle w:val="2"/>
        <w:jc w:val="center"/>
      </w:pPr>
      <w:r>
        <w:rPr>
          <w:sz w:val="20"/>
        </w:rPr>
        <w:t xml:space="preserve">Перечень нормативных правовых актов, принимаемых в целях</w:t>
      </w:r>
    </w:p>
    <w:p>
      <w:pPr>
        <w:pStyle w:val="2"/>
        <w:jc w:val="center"/>
      </w:pPr>
      <w:r>
        <w:rPr>
          <w:sz w:val="20"/>
        </w:rPr>
        <w:t xml:space="preserve">реализации Подпрограммы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721"/>
        <w:gridCol w:w="2324"/>
        <w:gridCol w:w="1644"/>
        <w:gridCol w:w="1814"/>
      </w:tblGrid>
      <w:tr>
        <w:tc>
          <w:tcPr>
            <w:tcW w:w="567" w:type="dxa"/>
          </w:tcPr>
          <w:p>
            <w:pPr>
              <w:pStyle w:val="0"/>
              <w:jc w:val="center"/>
            </w:pPr>
            <w:r>
              <w:rPr>
                <w:sz w:val="20"/>
              </w:rPr>
              <w:t xml:space="preserve">N п/п</w:t>
            </w:r>
          </w:p>
        </w:tc>
        <w:tc>
          <w:tcPr>
            <w:tcW w:w="2721" w:type="dxa"/>
          </w:tcPr>
          <w:p>
            <w:pPr>
              <w:pStyle w:val="0"/>
              <w:jc w:val="center"/>
            </w:pPr>
            <w:r>
              <w:rPr>
                <w:sz w:val="20"/>
              </w:rPr>
              <w:t xml:space="preserve">Вид принимаемого нормативного правового акта</w:t>
            </w:r>
          </w:p>
        </w:tc>
        <w:tc>
          <w:tcPr>
            <w:tcW w:w="2324" w:type="dxa"/>
          </w:tcPr>
          <w:p>
            <w:pPr>
              <w:pStyle w:val="0"/>
              <w:jc w:val="center"/>
            </w:pPr>
            <w:r>
              <w:rPr>
                <w:sz w:val="20"/>
              </w:rPr>
              <w:t xml:space="preserve">Основные положения нормативного правового акта</w:t>
            </w:r>
          </w:p>
        </w:tc>
        <w:tc>
          <w:tcPr>
            <w:tcW w:w="1644" w:type="dxa"/>
          </w:tcPr>
          <w:p>
            <w:pPr>
              <w:pStyle w:val="0"/>
              <w:jc w:val="center"/>
            </w:pPr>
            <w:r>
              <w:rPr>
                <w:sz w:val="20"/>
              </w:rPr>
              <w:t xml:space="preserve">Исполнитель</w:t>
            </w:r>
          </w:p>
        </w:tc>
        <w:tc>
          <w:tcPr>
            <w:tcW w:w="1814" w:type="dxa"/>
          </w:tcPr>
          <w:p>
            <w:pPr>
              <w:pStyle w:val="0"/>
              <w:jc w:val="center"/>
            </w:pPr>
            <w:r>
              <w:rPr>
                <w:sz w:val="20"/>
              </w:rPr>
              <w:t xml:space="preserve">Ожидаемый срок принятия</w:t>
            </w:r>
          </w:p>
        </w:tc>
      </w:tr>
      <w:tr>
        <w:tc>
          <w:tcPr>
            <w:tcW w:w="567" w:type="dxa"/>
          </w:tcPr>
          <w:p>
            <w:pPr>
              <w:pStyle w:val="0"/>
              <w:jc w:val="center"/>
            </w:pPr>
            <w:r>
              <w:rPr>
                <w:sz w:val="20"/>
              </w:rPr>
              <w:t xml:space="preserve">1</w:t>
            </w:r>
          </w:p>
        </w:tc>
        <w:tc>
          <w:tcPr>
            <w:tcW w:w="2721" w:type="dxa"/>
          </w:tcPr>
          <w:p>
            <w:pPr>
              <w:pStyle w:val="0"/>
              <w:jc w:val="center"/>
            </w:pPr>
            <w:r>
              <w:rPr>
                <w:sz w:val="20"/>
              </w:rPr>
              <w:t xml:space="preserve">2</w:t>
            </w:r>
          </w:p>
        </w:tc>
        <w:tc>
          <w:tcPr>
            <w:tcW w:w="2324" w:type="dxa"/>
          </w:tcPr>
          <w:p>
            <w:pPr>
              <w:pStyle w:val="0"/>
              <w:jc w:val="center"/>
            </w:pPr>
            <w:r>
              <w:rPr>
                <w:sz w:val="20"/>
              </w:rPr>
              <w:t xml:space="preserve">3</w:t>
            </w:r>
          </w:p>
        </w:tc>
        <w:tc>
          <w:tcPr>
            <w:tcW w:w="1644" w:type="dxa"/>
          </w:tcPr>
          <w:p>
            <w:pPr>
              <w:pStyle w:val="0"/>
              <w:jc w:val="center"/>
            </w:pPr>
            <w:r>
              <w:rPr>
                <w:sz w:val="20"/>
              </w:rPr>
              <w:t xml:space="preserve">4</w:t>
            </w:r>
          </w:p>
        </w:tc>
        <w:tc>
          <w:tcPr>
            <w:tcW w:w="1814" w:type="dxa"/>
          </w:tcPr>
          <w:p>
            <w:pPr>
              <w:pStyle w:val="0"/>
              <w:jc w:val="center"/>
            </w:pPr>
            <w:r>
              <w:rPr>
                <w:sz w:val="20"/>
              </w:rPr>
              <w:t xml:space="preserve">5</w:t>
            </w:r>
          </w:p>
        </w:tc>
      </w:tr>
      <w:tr>
        <w:tc>
          <w:tcPr>
            <w:tcW w:w="567" w:type="dxa"/>
          </w:tcPr>
          <w:p>
            <w:pPr>
              <w:pStyle w:val="0"/>
            </w:pPr>
            <w:r>
              <w:rPr>
                <w:sz w:val="20"/>
              </w:rPr>
              <w:t xml:space="preserve">1.</w:t>
            </w:r>
          </w:p>
        </w:tc>
        <w:tc>
          <w:tcPr>
            <w:tcW w:w="2721" w:type="dxa"/>
          </w:tcPr>
          <w:p>
            <w:pPr>
              <w:pStyle w:val="0"/>
            </w:pPr>
            <w:r>
              <w:rPr>
                <w:sz w:val="20"/>
              </w:rPr>
              <w:t xml:space="preserve">Постановление Правительства автономного округа "О государственной программе Ханты-Мансийского автономного округа - Югры "Поддержка занятости населения"</w:t>
            </w:r>
          </w:p>
        </w:tc>
        <w:tc>
          <w:tcPr>
            <w:tcW w:w="2324" w:type="dxa"/>
          </w:tcPr>
          <w:p>
            <w:pPr>
              <w:pStyle w:val="0"/>
            </w:pPr>
            <w:r>
              <w:rPr>
                <w:sz w:val="20"/>
              </w:rPr>
              <w:t xml:space="preserve">утверждение государственной программы "Поддержка занятости населения"</w:t>
            </w:r>
          </w:p>
        </w:tc>
        <w:tc>
          <w:tcPr>
            <w:tcW w:w="1644" w:type="dxa"/>
          </w:tcPr>
          <w:p>
            <w:pPr>
              <w:pStyle w:val="0"/>
            </w:pPr>
            <w:r>
              <w:rPr>
                <w:sz w:val="20"/>
              </w:rPr>
              <w:t xml:space="preserve">Уполномоченный орган Югры</w:t>
            </w:r>
          </w:p>
        </w:tc>
        <w:tc>
          <w:tcPr>
            <w:tcW w:w="1814" w:type="dxa"/>
          </w:tcPr>
          <w:p>
            <w:pPr>
              <w:pStyle w:val="0"/>
            </w:pPr>
            <w:r>
              <w:rPr>
                <w:sz w:val="20"/>
              </w:rPr>
              <w:t xml:space="preserve">в течение месяца после утверждения Подпрограммы</w:t>
            </w:r>
          </w:p>
        </w:tc>
      </w:tr>
      <w:tr>
        <w:tc>
          <w:tcPr>
            <w:tcW w:w="567" w:type="dxa"/>
          </w:tcPr>
          <w:p>
            <w:pPr>
              <w:pStyle w:val="0"/>
            </w:pPr>
            <w:r>
              <w:rPr>
                <w:sz w:val="20"/>
              </w:rPr>
              <w:t xml:space="preserve">2.</w:t>
            </w:r>
          </w:p>
        </w:tc>
        <w:tc>
          <w:tcPr>
            <w:tcW w:w="2721" w:type="dxa"/>
          </w:tcPr>
          <w:p>
            <w:pPr>
              <w:pStyle w:val="0"/>
            </w:pPr>
            <w:r>
              <w:rPr>
                <w:sz w:val="20"/>
              </w:rPr>
              <w:t xml:space="preserve">Распоряжение Уполномоченного органа Югры</w:t>
            </w:r>
          </w:p>
        </w:tc>
        <w:tc>
          <w:tcPr>
            <w:tcW w:w="2324" w:type="dxa"/>
          </w:tcPr>
          <w:p>
            <w:pPr>
              <w:pStyle w:val="0"/>
            </w:pPr>
            <w:r>
              <w:rPr>
                <w:sz w:val="20"/>
              </w:rPr>
              <w:t xml:space="preserve">внесение изменений в положение о Комиссии по согласованию кандидатур соотечественников для участия в Подпрограмме</w:t>
            </w:r>
          </w:p>
        </w:tc>
        <w:tc>
          <w:tcPr>
            <w:tcW w:w="1644" w:type="dxa"/>
          </w:tcPr>
          <w:p>
            <w:pPr>
              <w:pStyle w:val="0"/>
            </w:pPr>
            <w:r>
              <w:rPr>
                <w:sz w:val="20"/>
              </w:rPr>
              <w:t xml:space="preserve">Уполномоченный орган Югры</w:t>
            </w:r>
          </w:p>
        </w:tc>
        <w:tc>
          <w:tcPr>
            <w:tcW w:w="1814" w:type="dxa"/>
          </w:tcPr>
          <w:p>
            <w:pPr>
              <w:pStyle w:val="0"/>
            </w:pPr>
            <w:r>
              <w:rPr>
                <w:sz w:val="20"/>
              </w:rPr>
              <w:t xml:space="preserve">в течение месяца после утверждения Подпрограммы</w:t>
            </w:r>
          </w:p>
        </w:tc>
      </w:tr>
      <w:tr>
        <w:tc>
          <w:tcPr>
            <w:tcW w:w="567" w:type="dxa"/>
          </w:tcPr>
          <w:p>
            <w:pPr>
              <w:pStyle w:val="0"/>
            </w:pPr>
            <w:r>
              <w:rPr>
                <w:sz w:val="20"/>
              </w:rPr>
              <w:t xml:space="preserve">3.</w:t>
            </w:r>
          </w:p>
        </w:tc>
        <w:tc>
          <w:tcPr>
            <w:tcW w:w="2721" w:type="dxa"/>
          </w:tcPr>
          <w:p>
            <w:pPr>
              <w:pStyle w:val="0"/>
            </w:pPr>
            <w:r>
              <w:rPr>
                <w:sz w:val="20"/>
              </w:rPr>
              <w:t xml:space="preserve">Распоряжение Уполномоченного органа Югры</w:t>
            </w:r>
          </w:p>
        </w:tc>
        <w:tc>
          <w:tcPr>
            <w:tcW w:w="2324" w:type="dxa"/>
          </w:tcPr>
          <w:p>
            <w:pPr>
              <w:pStyle w:val="0"/>
            </w:pPr>
            <w:r>
              <w:rPr>
                <w:sz w:val="20"/>
              </w:rPr>
              <w:t xml:space="preserve">внесение изменений в распоряжение Уполномоченного органа Югры о реализации Подпрограммы</w:t>
            </w:r>
          </w:p>
        </w:tc>
        <w:tc>
          <w:tcPr>
            <w:tcW w:w="1644" w:type="dxa"/>
          </w:tcPr>
          <w:p>
            <w:pPr>
              <w:pStyle w:val="0"/>
            </w:pPr>
            <w:r>
              <w:rPr>
                <w:sz w:val="20"/>
              </w:rPr>
              <w:t xml:space="preserve">Уполномоченный орган Югры</w:t>
            </w:r>
          </w:p>
        </w:tc>
        <w:tc>
          <w:tcPr>
            <w:tcW w:w="1814" w:type="dxa"/>
          </w:tcPr>
          <w:p>
            <w:pPr>
              <w:pStyle w:val="0"/>
            </w:pPr>
            <w:r>
              <w:rPr>
                <w:sz w:val="20"/>
              </w:rPr>
              <w:t xml:space="preserve">в течение месяца после утверждения Подпрограммы</w:t>
            </w:r>
          </w:p>
        </w:tc>
      </w:tr>
    </w:tbl>
    <w:p>
      <w:pPr>
        <w:pStyle w:val="0"/>
        <w:jc w:val="both"/>
      </w:pPr>
      <w:r>
        <w:rPr>
          <w:sz w:val="20"/>
        </w:rPr>
      </w:r>
    </w:p>
    <w:p>
      <w:pPr>
        <w:pStyle w:val="0"/>
        <w:outlineLvl w:val="1"/>
        <w:jc w:val="right"/>
      </w:pPr>
      <w:r>
        <w:rPr>
          <w:sz w:val="20"/>
        </w:rPr>
        <w:t xml:space="preserve">Таблица 5</w:t>
      </w:r>
    </w:p>
    <w:p>
      <w:pPr>
        <w:pStyle w:val="0"/>
        <w:jc w:val="both"/>
      </w:pPr>
      <w:r>
        <w:rPr>
          <w:sz w:val="20"/>
        </w:rPr>
      </w:r>
    </w:p>
    <w:bookmarkStart w:id="1071" w:name="P1071"/>
    <w:bookmarkEnd w:id="1071"/>
    <w:p>
      <w:pPr>
        <w:pStyle w:val="2"/>
        <w:jc w:val="center"/>
      </w:pPr>
      <w:r>
        <w:rPr>
          <w:sz w:val="20"/>
        </w:rPr>
        <w:t xml:space="preserve">Оценка готовности Ханты-Мансийского автономного</w:t>
      </w:r>
    </w:p>
    <w:p>
      <w:pPr>
        <w:pStyle w:val="2"/>
        <w:jc w:val="center"/>
      </w:pPr>
      <w:r>
        <w:rPr>
          <w:sz w:val="20"/>
        </w:rPr>
        <w:t xml:space="preserve">округа - Югры к приему участников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
        <w:gridCol w:w="3912"/>
        <w:gridCol w:w="1000"/>
        <w:gridCol w:w="1178"/>
        <w:gridCol w:w="2381"/>
      </w:tblGrid>
      <w:tr>
        <w:tc>
          <w:tcPr>
            <w:tcW w:w="582" w:type="dxa"/>
          </w:tcPr>
          <w:p>
            <w:pPr>
              <w:pStyle w:val="0"/>
              <w:jc w:val="center"/>
            </w:pPr>
            <w:r>
              <w:rPr>
                <w:sz w:val="20"/>
              </w:rPr>
              <w:t xml:space="preserve">N п/п</w:t>
            </w:r>
          </w:p>
        </w:tc>
        <w:tc>
          <w:tcPr>
            <w:tcW w:w="3912" w:type="dxa"/>
          </w:tcPr>
          <w:p>
            <w:pPr>
              <w:pStyle w:val="0"/>
              <w:jc w:val="center"/>
            </w:pPr>
            <w:r>
              <w:rPr>
                <w:sz w:val="20"/>
              </w:rPr>
              <w:t xml:space="preserve">Наименование показателя</w:t>
            </w:r>
          </w:p>
        </w:tc>
        <w:tc>
          <w:tcPr>
            <w:tcW w:w="1000" w:type="dxa"/>
          </w:tcPr>
          <w:p>
            <w:pPr>
              <w:pStyle w:val="0"/>
              <w:jc w:val="center"/>
            </w:pPr>
            <w:r>
              <w:rPr>
                <w:sz w:val="20"/>
              </w:rPr>
              <w:t xml:space="preserve">Год</w:t>
            </w:r>
          </w:p>
        </w:tc>
        <w:tc>
          <w:tcPr>
            <w:tcW w:w="1178" w:type="dxa"/>
          </w:tcPr>
          <w:p>
            <w:pPr>
              <w:pStyle w:val="0"/>
              <w:jc w:val="center"/>
            </w:pPr>
            <w:r>
              <w:rPr>
                <w:sz w:val="20"/>
              </w:rPr>
              <w:t xml:space="preserve">Ед. измерения</w:t>
            </w:r>
          </w:p>
        </w:tc>
        <w:tc>
          <w:tcPr>
            <w:tcW w:w="2381" w:type="dxa"/>
          </w:tcPr>
          <w:p>
            <w:pPr>
              <w:pStyle w:val="0"/>
              <w:jc w:val="center"/>
            </w:pPr>
            <w:r>
              <w:rPr>
                <w:sz w:val="20"/>
              </w:rPr>
              <w:t xml:space="preserve">Значение показателя по автономному округу на последнюю отчетную дату</w:t>
            </w:r>
          </w:p>
        </w:tc>
      </w:tr>
      <w:tr>
        <w:tc>
          <w:tcPr>
            <w:tcW w:w="582" w:type="dxa"/>
            <w:vMerge w:val="restart"/>
          </w:tcPr>
          <w:p>
            <w:pPr>
              <w:pStyle w:val="0"/>
            </w:pPr>
            <w:r>
              <w:rPr>
                <w:sz w:val="20"/>
              </w:rPr>
              <w:t xml:space="preserve">1.</w:t>
            </w:r>
          </w:p>
        </w:tc>
        <w:tc>
          <w:tcPr>
            <w:tcW w:w="3912" w:type="dxa"/>
            <w:vMerge w:val="restart"/>
          </w:tcPr>
          <w:p>
            <w:pPr>
              <w:pStyle w:val="0"/>
            </w:pPr>
            <w:r>
              <w:rPr>
                <w:sz w:val="20"/>
              </w:rPr>
              <w:t xml:space="preserve">Численность населения на начало года</w:t>
            </w:r>
          </w:p>
        </w:tc>
        <w:tc>
          <w:tcPr>
            <w:tcW w:w="1000" w:type="dxa"/>
          </w:tcPr>
          <w:p>
            <w:pPr>
              <w:pStyle w:val="0"/>
            </w:pPr>
            <w:r>
              <w:rPr>
                <w:sz w:val="20"/>
              </w:rPr>
              <w:t xml:space="preserve">2017</w:t>
            </w:r>
          </w:p>
        </w:tc>
        <w:tc>
          <w:tcPr>
            <w:tcW w:w="1178" w:type="dxa"/>
            <w:vMerge w:val="restart"/>
          </w:tcPr>
          <w:p>
            <w:pPr>
              <w:pStyle w:val="0"/>
            </w:pPr>
            <w:r>
              <w:rPr>
                <w:sz w:val="20"/>
              </w:rPr>
              <w:t xml:space="preserve">тыс. чел.</w:t>
            </w:r>
          </w:p>
        </w:tc>
        <w:tc>
          <w:tcPr>
            <w:tcW w:w="2381" w:type="dxa"/>
          </w:tcPr>
          <w:p>
            <w:pPr>
              <w:pStyle w:val="0"/>
            </w:pPr>
            <w:r>
              <w:rPr>
                <w:sz w:val="20"/>
              </w:rPr>
              <w:t xml:space="preserve">1646,1</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1655,1</w:t>
            </w:r>
          </w:p>
        </w:tc>
      </w:tr>
      <w:tr>
        <w:tc>
          <w:tcPr>
            <w:vMerge w:val="continue"/>
          </w:tcPr>
          <w:p/>
        </w:tc>
        <w:tc>
          <w:tcPr>
            <w:vMerge w:val="continue"/>
          </w:tcPr>
          <w:p/>
        </w:tc>
        <w:tc>
          <w:tcPr>
            <w:tcW w:w="1000" w:type="dxa"/>
          </w:tcPr>
          <w:p>
            <w:pPr>
              <w:pStyle w:val="0"/>
            </w:pPr>
            <w:r>
              <w:rPr>
                <w:sz w:val="20"/>
              </w:rPr>
              <w:t xml:space="preserve">2019</w:t>
            </w:r>
          </w:p>
        </w:tc>
        <w:tc>
          <w:tcPr>
            <w:vMerge w:val="continue"/>
          </w:tcPr>
          <w:p/>
        </w:tc>
        <w:tc>
          <w:tcPr>
            <w:tcW w:w="2381" w:type="dxa"/>
          </w:tcPr>
          <w:p>
            <w:pPr>
              <w:pStyle w:val="0"/>
            </w:pPr>
            <w:r>
              <w:rPr>
                <w:sz w:val="20"/>
              </w:rPr>
              <w:t xml:space="preserve">1663,8</w:t>
            </w:r>
          </w:p>
        </w:tc>
      </w:tr>
      <w:tr>
        <w:tc>
          <w:tcPr>
            <w:tcW w:w="582" w:type="dxa"/>
            <w:vMerge w:val="restart"/>
          </w:tcPr>
          <w:p>
            <w:pPr>
              <w:pStyle w:val="0"/>
            </w:pPr>
            <w:r>
              <w:rPr>
                <w:sz w:val="20"/>
              </w:rPr>
              <w:t xml:space="preserve">2.</w:t>
            </w:r>
          </w:p>
        </w:tc>
        <w:tc>
          <w:tcPr>
            <w:tcW w:w="3912" w:type="dxa"/>
            <w:vMerge w:val="restart"/>
          </w:tcPr>
          <w:p>
            <w:pPr>
              <w:pStyle w:val="0"/>
            </w:pPr>
            <w:r>
              <w:rPr>
                <w:sz w:val="20"/>
              </w:rPr>
              <w:t xml:space="preserve">Естественный (ая) прирост (убыль) населения</w:t>
            </w:r>
          </w:p>
        </w:tc>
        <w:tc>
          <w:tcPr>
            <w:tcW w:w="1000" w:type="dxa"/>
          </w:tcPr>
          <w:p>
            <w:pPr>
              <w:pStyle w:val="0"/>
            </w:pPr>
            <w:r>
              <w:rPr>
                <w:sz w:val="20"/>
              </w:rPr>
              <w:t xml:space="preserve">2016</w:t>
            </w:r>
          </w:p>
        </w:tc>
        <w:tc>
          <w:tcPr>
            <w:tcW w:w="1178" w:type="dxa"/>
            <w:vMerge w:val="restart"/>
          </w:tcPr>
          <w:p>
            <w:pPr>
              <w:pStyle w:val="0"/>
            </w:pPr>
            <w:r>
              <w:rPr>
                <w:sz w:val="20"/>
              </w:rPr>
              <w:t xml:space="preserve">чел.</w:t>
            </w:r>
          </w:p>
        </w:tc>
        <w:tc>
          <w:tcPr>
            <w:tcW w:w="2381" w:type="dxa"/>
          </w:tcPr>
          <w:p>
            <w:pPr>
              <w:pStyle w:val="0"/>
            </w:pPr>
            <w:r>
              <w:rPr>
                <w:sz w:val="20"/>
              </w:rPr>
              <w:t xml:space="preserve">15459</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13063</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12073</w:t>
            </w:r>
          </w:p>
        </w:tc>
      </w:tr>
      <w:tr>
        <w:tc>
          <w:tcPr>
            <w:tcW w:w="582" w:type="dxa"/>
            <w:vMerge w:val="restart"/>
          </w:tcPr>
          <w:p>
            <w:pPr>
              <w:pStyle w:val="0"/>
            </w:pPr>
            <w:r>
              <w:rPr>
                <w:sz w:val="20"/>
              </w:rPr>
              <w:t xml:space="preserve">3.</w:t>
            </w:r>
          </w:p>
        </w:tc>
        <w:tc>
          <w:tcPr>
            <w:tcW w:w="3912" w:type="dxa"/>
            <w:vMerge w:val="restart"/>
          </w:tcPr>
          <w:p>
            <w:pPr>
              <w:pStyle w:val="0"/>
            </w:pPr>
            <w:r>
              <w:rPr>
                <w:sz w:val="20"/>
              </w:rPr>
              <w:t xml:space="preserve">Миграционный (ая) прирост (убыль) населения</w:t>
            </w:r>
          </w:p>
        </w:tc>
        <w:tc>
          <w:tcPr>
            <w:tcW w:w="1000" w:type="dxa"/>
          </w:tcPr>
          <w:p>
            <w:pPr>
              <w:pStyle w:val="0"/>
            </w:pPr>
            <w:r>
              <w:rPr>
                <w:sz w:val="20"/>
              </w:rPr>
              <w:t xml:space="preserve">2016</w:t>
            </w:r>
          </w:p>
        </w:tc>
        <w:tc>
          <w:tcPr>
            <w:tcW w:w="1178" w:type="dxa"/>
            <w:vMerge w:val="restart"/>
          </w:tcPr>
          <w:p>
            <w:pPr>
              <w:pStyle w:val="0"/>
            </w:pPr>
            <w:r>
              <w:rPr>
                <w:sz w:val="20"/>
              </w:rPr>
              <w:t xml:space="preserve">чел.</w:t>
            </w:r>
          </w:p>
        </w:tc>
        <w:tc>
          <w:tcPr>
            <w:tcW w:w="2381" w:type="dxa"/>
          </w:tcPr>
          <w:p>
            <w:pPr>
              <w:pStyle w:val="0"/>
            </w:pPr>
            <w:r>
              <w:rPr>
                <w:sz w:val="20"/>
              </w:rPr>
              <w:t xml:space="preserve">3864</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-4067</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-3424</w:t>
            </w:r>
          </w:p>
        </w:tc>
      </w:tr>
      <w:tr>
        <w:tc>
          <w:tcPr>
            <w:tcW w:w="582" w:type="dxa"/>
            <w:vMerge w:val="restart"/>
          </w:tcPr>
          <w:p>
            <w:pPr>
              <w:pStyle w:val="0"/>
            </w:pPr>
            <w:r>
              <w:rPr>
                <w:sz w:val="20"/>
              </w:rPr>
              <w:t xml:space="preserve">4.</w:t>
            </w:r>
          </w:p>
        </w:tc>
        <w:tc>
          <w:tcPr>
            <w:tcW w:w="3912" w:type="dxa"/>
            <w:vMerge w:val="restart"/>
          </w:tcPr>
          <w:p>
            <w:pPr>
              <w:pStyle w:val="0"/>
            </w:pPr>
            <w:r>
              <w:rPr>
                <w:sz w:val="20"/>
              </w:rPr>
              <w:t xml:space="preserve">Удельный вес численности трудоспособного населения в общей численности населения на начало года</w:t>
            </w:r>
          </w:p>
        </w:tc>
        <w:tc>
          <w:tcPr>
            <w:tcW w:w="1000" w:type="dxa"/>
          </w:tcPr>
          <w:p>
            <w:pPr>
              <w:pStyle w:val="0"/>
            </w:pPr>
            <w:r>
              <w:rPr>
                <w:sz w:val="20"/>
              </w:rPr>
              <w:t xml:space="preserve">2016</w:t>
            </w:r>
          </w:p>
        </w:tc>
        <w:tc>
          <w:tcPr>
            <w:tcW w:w="1178" w:type="dxa"/>
            <w:vMerge w:val="restart"/>
          </w:tcPr>
          <w:p>
            <w:pPr>
              <w:pStyle w:val="0"/>
            </w:pPr>
            <w:r>
              <w:rPr>
                <w:sz w:val="20"/>
              </w:rPr>
              <w:t xml:space="preserve">%</w:t>
            </w:r>
          </w:p>
        </w:tc>
        <w:tc>
          <w:tcPr>
            <w:tcW w:w="2381" w:type="dxa"/>
          </w:tcPr>
          <w:p>
            <w:pPr>
              <w:pStyle w:val="0"/>
            </w:pPr>
            <w:r>
              <w:rPr>
                <w:sz w:val="20"/>
              </w:rPr>
              <w:t xml:space="preserve">63,2</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62,2</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61,2</w:t>
            </w:r>
          </w:p>
        </w:tc>
      </w:tr>
      <w:tr>
        <w:tc>
          <w:tcPr>
            <w:tcW w:w="582" w:type="dxa"/>
            <w:vMerge w:val="restart"/>
          </w:tcPr>
          <w:p>
            <w:pPr>
              <w:pStyle w:val="0"/>
            </w:pPr>
            <w:r>
              <w:rPr>
                <w:sz w:val="20"/>
              </w:rPr>
              <w:t xml:space="preserve">5.</w:t>
            </w:r>
          </w:p>
        </w:tc>
        <w:tc>
          <w:tcPr>
            <w:tcW w:w="3912" w:type="dxa"/>
            <w:vMerge w:val="restart"/>
          </w:tcPr>
          <w:p>
            <w:pPr>
              <w:pStyle w:val="0"/>
            </w:pPr>
            <w:r>
              <w:rPr>
                <w:sz w:val="20"/>
              </w:rPr>
              <w:t xml:space="preserve">Удельный вес занятых в экономике в общей численности трудоспособного населения</w:t>
            </w:r>
          </w:p>
        </w:tc>
        <w:tc>
          <w:tcPr>
            <w:tcW w:w="1000" w:type="dxa"/>
          </w:tcPr>
          <w:p>
            <w:pPr>
              <w:pStyle w:val="0"/>
            </w:pPr>
            <w:r>
              <w:rPr>
                <w:sz w:val="20"/>
              </w:rPr>
              <w:t xml:space="preserve">2016</w:t>
            </w:r>
          </w:p>
        </w:tc>
        <w:tc>
          <w:tcPr>
            <w:tcW w:w="1178" w:type="dxa"/>
            <w:vMerge w:val="restart"/>
          </w:tcPr>
          <w:p>
            <w:pPr>
              <w:pStyle w:val="0"/>
            </w:pPr>
            <w:r>
              <w:rPr>
                <w:sz w:val="20"/>
              </w:rPr>
              <w:t xml:space="preserve">%</w:t>
            </w:r>
          </w:p>
        </w:tc>
        <w:tc>
          <w:tcPr>
            <w:tcW w:w="2381" w:type="dxa"/>
          </w:tcPr>
          <w:p>
            <w:pPr>
              <w:pStyle w:val="0"/>
            </w:pPr>
            <w:r>
              <w:rPr>
                <w:sz w:val="20"/>
              </w:rPr>
              <w:t xml:space="preserve">99,9</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86,6</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88,3</w:t>
            </w:r>
          </w:p>
        </w:tc>
      </w:tr>
      <w:tr>
        <w:tc>
          <w:tcPr>
            <w:tcW w:w="582" w:type="dxa"/>
            <w:vMerge w:val="restart"/>
          </w:tcPr>
          <w:p>
            <w:pPr>
              <w:pStyle w:val="0"/>
            </w:pPr>
            <w:r>
              <w:rPr>
                <w:sz w:val="20"/>
              </w:rPr>
              <w:t xml:space="preserve">6.</w:t>
            </w:r>
          </w:p>
        </w:tc>
        <w:tc>
          <w:tcPr>
            <w:tcW w:w="3912" w:type="dxa"/>
            <w:vMerge w:val="restart"/>
          </w:tcPr>
          <w:p>
            <w:pPr>
              <w:pStyle w:val="0"/>
            </w:pPr>
            <w:r>
              <w:rPr>
                <w:sz w:val="20"/>
              </w:rPr>
              <w:t xml:space="preserve">Общая численность безработных (по методологии Международной организации труда)</w:t>
            </w:r>
          </w:p>
        </w:tc>
        <w:tc>
          <w:tcPr>
            <w:tcW w:w="1000" w:type="dxa"/>
          </w:tcPr>
          <w:p>
            <w:pPr>
              <w:pStyle w:val="0"/>
            </w:pPr>
            <w:r>
              <w:rPr>
                <w:sz w:val="20"/>
              </w:rPr>
              <w:t xml:space="preserve">2016</w:t>
            </w:r>
          </w:p>
        </w:tc>
        <w:tc>
          <w:tcPr>
            <w:tcW w:w="1178" w:type="dxa"/>
            <w:vMerge w:val="restart"/>
          </w:tcPr>
          <w:p>
            <w:pPr>
              <w:pStyle w:val="0"/>
            </w:pPr>
            <w:r>
              <w:rPr>
                <w:sz w:val="20"/>
              </w:rPr>
              <w:t xml:space="preserve">тыс. чел.</w:t>
            </w:r>
          </w:p>
        </w:tc>
        <w:tc>
          <w:tcPr>
            <w:tcW w:w="2381" w:type="dxa"/>
          </w:tcPr>
          <w:p>
            <w:pPr>
              <w:pStyle w:val="0"/>
            </w:pPr>
            <w:r>
              <w:rPr>
                <w:sz w:val="20"/>
              </w:rPr>
              <w:t xml:space="preserve">41,7</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30,0</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22,7</w:t>
            </w:r>
          </w:p>
        </w:tc>
      </w:tr>
      <w:tr>
        <w:tc>
          <w:tcPr>
            <w:tcW w:w="582" w:type="dxa"/>
            <w:vMerge w:val="restart"/>
          </w:tcPr>
          <w:p>
            <w:pPr>
              <w:pStyle w:val="0"/>
            </w:pPr>
            <w:r>
              <w:rPr>
                <w:sz w:val="20"/>
              </w:rPr>
              <w:t xml:space="preserve">7.</w:t>
            </w:r>
          </w:p>
        </w:tc>
        <w:tc>
          <w:tcPr>
            <w:tcW w:w="3912" w:type="dxa"/>
            <w:vMerge w:val="restart"/>
          </w:tcPr>
          <w:p>
            <w:pPr>
              <w:pStyle w:val="0"/>
            </w:pPr>
            <w:r>
              <w:rPr>
                <w:sz w:val="20"/>
              </w:rPr>
              <w:t xml:space="preserve">Уровень безработицы (по методологии Международной организации труда)</w:t>
            </w:r>
          </w:p>
        </w:tc>
        <w:tc>
          <w:tcPr>
            <w:tcW w:w="1000" w:type="dxa"/>
          </w:tcPr>
          <w:bookmarkStart w:id="1135" w:name="P1135"/>
          <w:bookmarkEnd w:id="1135"/>
          <w:p>
            <w:pPr>
              <w:pStyle w:val="0"/>
            </w:pPr>
            <w:r>
              <w:rPr>
                <w:sz w:val="20"/>
              </w:rPr>
              <w:t xml:space="preserve">2016</w:t>
            </w:r>
          </w:p>
        </w:tc>
        <w:tc>
          <w:tcPr>
            <w:tcW w:w="1178" w:type="dxa"/>
            <w:vMerge w:val="restart"/>
          </w:tcPr>
          <w:p>
            <w:pPr>
              <w:pStyle w:val="0"/>
            </w:pPr>
            <w:r>
              <w:rPr>
                <w:sz w:val="20"/>
              </w:rPr>
              <w:t xml:space="preserve">%</w:t>
            </w:r>
          </w:p>
        </w:tc>
        <w:tc>
          <w:tcPr>
            <w:tcW w:w="2381" w:type="dxa"/>
          </w:tcPr>
          <w:p>
            <w:pPr>
              <w:pStyle w:val="0"/>
            </w:pPr>
            <w:r>
              <w:rPr>
                <w:sz w:val="20"/>
              </w:rPr>
              <w:t xml:space="preserve">4,5</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3,3</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2,5</w:t>
            </w:r>
          </w:p>
        </w:tc>
      </w:tr>
      <w:tr>
        <w:tc>
          <w:tcPr>
            <w:tcW w:w="582" w:type="dxa"/>
            <w:vMerge w:val="restart"/>
          </w:tcPr>
          <w:p>
            <w:pPr>
              <w:pStyle w:val="0"/>
            </w:pPr>
            <w:r>
              <w:rPr>
                <w:sz w:val="20"/>
              </w:rPr>
              <w:t xml:space="preserve">8.</w:t>
            </w:r>
          </w:p>
        </w:tc>
        <w:tc>
          <w:tcPr>
            <w:tcW w:w="3912" w:type="dxa"/>
            <w:vMerge w:val="restart"/>
          </w:tcPr>
          <w:p>
            <w:pPr>
              <w:pStyle w:val="0"/>
            </w:pPr>
            <w:r>
              <w:rPr>
                <w:sz w:val="20"/>
              </w:rPr>
              <w:t xml:space="preserve">Численность граждан, признанных безработными государственными учреждениями службы занятости</w:t>
            </w:r>
          </w:p>
        </w:tc>
        <w:tc>
          <w:tcPr>
            <w:tcW w:w="1000" w:type="dxa"/>
          </w:tcPr>
          <w:p>
            <w:pPr>
              <w:pStyle w:val="0"/>
            </w:pPr>
            <w:r>
              <w:rPr>
                <w:sz w:val="20"/>
              </w:rPr>
              <w:t xml:space="preserve">2016</w:t>
            </w:r>
          </w:p>
        </w:tc>
        <w:tc>
          <w:tcPr>
            <w:tcW w:w="1178" w:type="dxa"/>
            <w:vMerge w:val="restart"/>
          </w:tcPr>
          <w:p>
            <w:pPr>
              <w:pStyle w:val="0"/>
            </w:pPr>
            <w:r>
              <w:rPr>
                <w:sz w:val="20"/>
              </w:rPr>
              <w:t xml:space="preserve">чел.</w:t>
            </w:r>
          </w:p>
        </w:tc>
        <w:tc>
          <w:tcPr>
            <w:tcW w:w="2381" w:type="dxa"/>
          </w:tcPr>
          <w:p>
            <w:pPr>
              <w:pStyle w:val="0"/>
            </w:pPr>
            <w:r>
              <w:rPr>
                <w:sz w:val="20"/>
              </w:rPr>
              <w:t xml:space="preserve">5239</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4518</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3969</w:t>
            </w:r>
          </w:p>
        </w:tc>
      </w:tr>
      <w:tr>
        <w:tc>
          <w:tcPr>
            <w:tcW w:w="582" w:type="dxa"/>
            <w:vMerge w:val="restart"/>
          </w:tcPr>
          <w:p>
            <w:pPr>
              <w:pStyle w:val="0"/>
            </w:pPr>
            <w:r>
              <w:rPr>
                <w:sz w:val="20"/>
              </w:rPr>
              <w:t xml:space="preserve">9.</w:t>
            </w:r>
          </w:p>
        </w:tc>
        <w:tc>
          <w:tcPr>
            <w:tcW w:w="3912" w:type="dxa"/>
            <w:vMerge w:val="restart"/>
          </w:tcPr>
          <w:p>
            <w:pPr>
              <w:pStyle w:val="0"/>
            </w:pPr>
            <w:r>
              <w:rPr>
                <w:sz w:val="20"/>
              </w:rPr>
              <w:t xml:space="preserve">Уровень регистрируемой безработицы от экономически активного населения</w:t>
            </w:r>
          </w:p>
        </w:tc>
        <w:tc>
          <w:tcPr>
            <w:tcW w:w="1000" w:type="dxa"/>
          </w:tcPr>
          <w:p>
            <w:pPr>
              <w:pStyle w:val="0"/>
            </w:pPr>
            <w:r>
              <w:rPr>
                <w:sz w:val="20"/>
              </w:rPr>
              <w:t xml:space="preserve">2016</w:t>
            </w:r>
          </w:p>
        </w:tc>
        <w:tc>
          <w:tcPr>
            <w:tcW w:w="1178" w:type="dxa"/>
            <w:vMerge w:val="restart"/>
          </w:tcPr>
          <w:p>
            <w:pPr>
              <w:pStyle w:val="0"/>
            </w:pPr>
            <w:r>
              <w:rPr>
                <w:sz w:val="20"/>
              </w:rPr>
              <w:t xml:space="preserve">%</w:t>
            </w:r>
          </w:p>
        </w:tc>
        <w:tc>
          <w:tcPr>
            <w:tcW w:w="2381" w:type="dxa"/>
          </w:tcPr>
          <w:p>
            <w:pPr>
              <w:pStyle w:val="0"/>
            </w:pPr>
            <w:r>
              <w:rPr>
                <w:sz w:val="20"/>
              </w:rPr>
              <w:t xml:space="preserve">0,57</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0,49</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0,43</w:t>
            </w:r>
          </w:p>
        </w:tc>
      </w:tr>
      <w:tr>
        <w:tc>
          <w:tcPr>
            <w:tcW w:w="582" w:type="dxa"/>
            <w:vMerge w:val="restart"/>
          </w:tcPr>
          <w:p>
            <w:pPr>
              <w:pStyle w:val="0"/>
            </w:pPr>
            <w:r>
              <w:rPr>
                <w:sz w:val="20"/>
              </w:rPr>
              <w:t xml:space="preserve">10.</w:t>
            </w:r>
          </w:p>
        </w:tc>
        <w:tc>
          <w:tcPr>
            <w:tcW w:w="3912" w:type="dxa"/>
            <w:vMerge w:val="restart"/>
          </w:tcPr>
          <w:p>
            <w:pPr>
              <w:pStyle w:val="0"/>
            </w:pPr>
            <w:r>
              <w:rPr>
                <w:sz w:val="20"/>
              </w:rPr>
              <w:t xml:space="preserve">Напряженность на рынке труда (число безработных на 1 вакансию)</w:t>
            </w:r>
          </w:p>
        </w:tc>
        <w:tc>
          <w:tcPr>
            <w:tcW w:w="1000" w:type="dxa"/>
          </w:tcPr>
          <w:p>
            <w:pPr>
              <w:pStyle w:val="0"/>
            </w:pPr>
            <w:r>
              <w:rPr>
                <w:sz w:val="20"/>
              </w:rPr>
              <w:t xml:space="preserve">2016</w:t>
            </w:r>
          </w:p>
        </w:tc>
        <w:tc>
          <w:tcPr>
            <w:tcW w:w="1178" w:type="dxa"/>
            <w:vMerge w:val="restart"/>
          </w:tcPr>
          <w:p>
            <w:pPr>
              <w:pStyle w:val="0"/>
            </w:pPr>
            <w:r>
              <w:rPr>
                <w:sz w:val="20"/>
              </w:rPr>
              <w:t xml:space="preserve">чел.</w:t>
            </w:r>
          </w:p>
        </w:tc>
        <w:tc>
          <w:tcPr>
            <w:tcW w:w="2381" w:type="dxa"/>
          </w:tcPr>
          <w:p>
            <w:pPr>
              <w:pStyle w:val="0"/>
            </w:pPr>
            <w:r>
              <w:rPr>
                <w:sz w:val="20"/>
              </w:rPr>
              <w:t xml:space="preserve">0,6</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0,5</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0,4</w:t>
            </w:r>
          </w:p>
        </w:tc>
      </w:tr>
      <w:tr>
        <w:tc>
          <w:tcPr>
            <w:tcW w:w="582" w:type="dxa"/>
            <w:vMerge w:val="restart"/>
          </w:tcPr>
          <w:p>
            <w:pPr>
              <w:pStyle w:val="0"/>
            </w:pPr>
            <w:r>
              <w:rPr>
                <w:sz w:val="20"/>
              </w:rPr>
              <w:t xml:space="preserve">11.</w:t>
            </w:r>
          </w:p>
        </w:tc>
        <w:tc>
          <w:tcPr>
            <w:tcW w:w="3912" w:type="dxa"/>
            <w:vMerge w:val="restart"/>
          </w:tcPr>
          <w:p>
            <w:pPr>
              <w:pStyle w:val="0"/>
            </w:pPr>
            <w:r>
              <w:rPr>
                <w:sz w:val="20"/>
              </w:rPr>
              <w:t xml:space="preserve">Численность привлеченных иностранных работников</w:t>
            </w:r>
          </w:p>
        </w:tc>
        <w:tc>
          <w:tcPr>
            <w:tcW w:w="1000" w:type="dxa"/>
          </w:tcPr>
          <w:p>
            <w:pPr>
              <w:pStyle w:val="0"/>
            </w:pPr>
            <w:r>
              <w:rPr>
                <w:sz w:val="20"/>
              </w:rPr>
              <w:t xml:space="preserve">2016</w:t>
            </w:r>
          </w:p>
        </w:tc>
        <w:tc>
          <w:tcPr>
            <w:tcW w:w="1178" w:type="dxa"/>
            <w:vMerge w:val="restart"/>
          </w:tcPr>
          <w:p>
            <w:pPr>
              <w:pStyle w:val="0"/>
            </w:pPr>
            <w:r>
              <w:rPr>
                <w:sz w:val="20"/>
              </w:rPr>
              <w:t xml:space="preserve">чел.</w:t>
            </w:r>
          </w:p>
        </w:tc>
        <w:tc>
          <w:tcPr>
            <w:tcW w:w="2381" w:type="dxa"/>
          </w:tcPr>
          <w:p>
            <w:pPr>
              <w:pStyle w:val="0"/>
            </w:pPr>
            <w:r>
              <w:rPr>
                <w:sz w:val="20"/>
              </w:rPr>
              <w:t xml:space="preserve">41608</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40360</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42472</w:t>
            </w:r>
          </w:p>
        </w:tc>
      </w:tr>
      <w:tr>
        <w:tc>
          <w:tcPr>
            <w:tcW w:w="582" w:type="dxa"/>
            <w:vMerge w:val="restart"/>
          </w:tcPr>
          <w:p>
            <w:pPr>
              <w:pStyle w:val="0"/>
            </w:pPr>
            <w:r>
              <w:rPr>
                <w:sz w:val="20"/>
              </w:rPr>
              <w:t xml:space="preserve">12.</w:t>
            </w:r>
          </w:p>
        </w:tc>
        <w:tc>
          <w:tcPr>
            <w:tcW w:w="3912" w:type="dxa"/>
            <w:vMerge w:val="restart"/>
          </w:tcPr>
          <w:p>
            <w:pPr>
              <w:pStyle w:val="0"/>
            </w:pPr>
            <w:r>
              <w:rPr>
                <w:sz w:val="20"/>
              </w:rPr>
              <w:t xml:space="preserve">Прожиточный минимум (в среднем на душу населения)</w:t>
            </w:r>
          </w:p>
        </w:tc>
        <w:tc>
          <w:tcPr>
            <w:tcW w:w="1000" w:type="dxa"/>
          </w:tcPr>
          <w:p>
            <w:pPr>
              <w:pStyle w:val="0"/>
            </w:pPr>
            <w:r>
              <w:rPr>
                <w:sz w:val="20"/>
              </w:rPr>
              <w:t xml:space="preserve">2016</w:t>
            </w:r>
          </w:p>
        </w:tc>
        <w:tc>
          <w:tcPr>
            <w:tcW w:w="1178" w:type="dxa"/>
            <w:vMerge w:val="restart"/>
          </w:tcPr>
          <w:p>
            <w:pPr>
              <w:pStyle w:val="0"/>
            </w:pPr>
            <w:r>
              <w:rPr>
                <w:sz w:val="20"/>
              </w:rPr>
              <w:t xml:space="preserve">руб.</w:t>
            </w:r>
          </w:p>
        </w:tc>
        <w:tc>
          <w:tcPr>
            <w:tcW w:w="2381" w:type="dxa"/>
          </w:tcPr>
          <w:p>
            <w:pPr>
              <w:pStyle w:val="0"/>
            </w:pPr>
            <w:r>
              <w:rPr>
                <w:sz w:val="20"/>
              </w:rPr>
              <w:t xml:space="preserve">14757,0</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14526,0</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14428,3</w:t>
            </w:r>
          </w:p>
        </w:tc>
      </w:tr>
      <w:tr>
        <w:tc>
          <w:tcPr>
            <w:tcW w:w="582" w:type="dxa"/>
            <w:vMerge w:val="restart"/>
          </w:tcPr>
          <w:p>
            <w:pPr>
              <w:pStyle w:val="0"/>
            </w:pPr>
            <w:r>
              <w:rPr>
                <w:sz w:val="20"/>
              </w:rPr>
              <w:t xml:space="preserve">13.</w:t>
            </w:r>
          </w:p>
        </w:tc>
        <w:tc>
          <w:tcPr>
            <w:tcW w:w="3912" w:type="dxa"/>
            <w:vMerge w:val="restart"/>
          </w:tcPr>
          <w:p>
            <w:pPr>
              <w:pStyle w:val="0"/>
            </w:pPr>
            <w:r>
              <w:rPr>
                <w:sz w:val="20"/>
              </w:rPr>
              <w:t xml:space="preserve">Количество жилья в среднем на 1 жителя</w:t>
            </w:r>
          </w:p>
        </w:tc>
        <w:tc>
          <w:tcPr>
            <w:tcW w:w="1000" w:type="dxa"/>
          </w:tcPr>
          <w:p>
            <w:pPr>
              <w:pStyle w:val="0"/>
            </w:pPr>
            <w:r>
              <w:rPr>
                <w:sz w:val="20"/>
              </w:rPr>
              <w:t xml:space="preserve">2016</w:t>
            </w:r>
          </w:p>
        </w:tc>
        <w:tc>
          <w:tcPr>
            <w:tcW w:w="1178" w:type="dxa"/>
            <w:vMerge w:val="restart"/>
          </w:tcPr>
          <w:p>
            <w:pPr>
              <w:pStyle w:val="0"/>
            </w:pPr>
            <w:r>
              <w:rPr>
                <w:sz w:val="20"/>
              </w:rPr>
              <w:t xml:space="preserve">кв. м</w:t>
            </w:r>
          </w:p>
        </w:tc>
        <w:tc>
          <w:tcPr>
            <w:tcW w:w="2381" w:type="dxa"/>
          </w:tcPr>
          <w:p>
            <w:pPr>
              <w:pStyle w:val="0"/>
            </w:pPr>
            <w:r>
              <w:rPr>
                <w:sz w:val="20"/>
              </w:rPr>
              <w:t xml:space="preserve">20,6</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20,8</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21,1</w:t>
            </w:r>
          </w:p>
        </w:tc>
      </w:tr>
      <w:tr>
        <w:tc>
          <w:tcPr>
            <w:tcW w:w="582" w:type="dxa"/>
            <w:vMerge w:val="restart"/>
          </w:tcPr>
          <w:p>
            <w:pPr>
              <w:pStyle w:val="0"/>
            </w:pPr>
            <w:r>
              <w:rPr>
                <w:sz w:val="20"/>
              </w:rPr>
              <w:t xml:space="preserve">14.</w:t>
            </w:r>
          </w:p>
        </w:tc>
        <w:tc>
          <w:tcPr>
            <w:tcW w:w="3912" w:type="dxa"/>
            <w:vMerge w:val="restart"/>
          </w:tcPr>
          <w:p>
            <w:pPr>
              <w:pStyle w:val="0"/>
            </w:pPr>
            <w:r>
              <w:rPr>
                <w:sz w:val="20"/>
              </w:rPr>
              <w:t xml:space="preserve">Количество постоянного жилья для приема участников Государственной программы и членов их семей</w:t>
            </w:r>
          </w:p>
        </w:tc>
        <w:tc>
          <w:tcPr>
            <w:tcW w:w="1000" w:type="dxa"/>
          </w:tcPr>
          <w:p>
            <w:pPr>
              <w:pStyle w:val="0"/>
            </w:pPr>
            <w:r>
              <w:rPr>
                <w:sz w:val="20"/>
              </w:rPr>
              <w:t xml:space="preserve">2016</w:t>
            </w:r>
          </w:p>
        </w:tc>
        <w:tc>
          <w:tcPr>
            <w:tcW w:w="1178" w:type="dxa"/>
            <w:vMerge w:val="restart"/>
          </w:tcPr>
          <w:p>
            <w:pPr>
              <w:pStyle w:val="0"/>
            </w:pPr>
            <w:r>
              <w:rPr>
                <w:sz w:val="20"/>
              </w:rPr>
              <w:t xml:space="preserve">кв. м</w:t>
            </w:r>
          </w:p>
        </w:tc>
        <w:tc>
          <w:tcPr>
            <w:tcW w:w="2381" w:type="dxa"/>
          </w:tcPr>
          <w:p>
            <w:pPr>
              <w:pStyle w:val="0"/>
            </w:pPr>
            <w:r>
              <w:rPr>
                <w:sz w:val="20"/>
              </w:rPr>
              <w:t xml:space="preserve">0</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0</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0</w:t>
            </w:r>
          </w:p>
        </w:tc>
      </w:tr>
      <w:tr>
        <w:tc>
          <w:tcPr>
            <w:tcW w:w="582" w:type="dxa"/>
            <w:vMerge w:val="restart"/>
          </w:tcPr>
          <w:p>
            <w:pPr>
              <w:pStyle w:val="0"/>
            </w:pPr>
            <w:r>
              <w:rPr>
                <w:sz w:val="20"/>
              </w:rPr>
              <w:t xml:space="preserve">15.</w:t>
            </w:r>
          </w:p>
        </w:tc>
        <w:tc>
          <w:tcPr>
            <w:tcW w:w="3912" w:type="dxa"/>
            <w:vMerge w:val="restart"/>
          </w:tcPr>
          <w:p>
            <w:pPr>
              <w:pStyle w:val="0"/>
            </w:pPr>
            <w:r>
              <w:rPr>
                <w:sz w:val="20"/>
              </w:rPr>
              <w:t xml:space="preserve">Количество временного жилья для приема участников Государственной программы и членов их семей</w:t>
            </w:r>
          </w:p>
        </w:tc>
        <w:tc>
          <w:tcPr>
            <w:tcW w:w="1000" w:type="dxa"/>
          </w:tcPr>
          <w:p>
            <w:pPr>
              <w:pStyle w:val="0"/>
            </w:pPr>
            <w:r>
              <w:rPr>
                <w:sz w:val="20"/>
              </w:rPr>
              <w:t xml:space="preserve">2016</w:t>
            </w:r>
          </w:p>
        </w:tc>
        <w:tc>
          <w:tcPr>
            <w:tcW w:w="1178" w:type="dxa"/>
            <w:vMerge w:val="restart"/>
          </w:tcPr>
          <w:p>
            <w:pPr>
              <w:pStyle w:val="0"/>
            </w:pPr>
            <w:r>
              <w:rPr>
                <w:sz w:val="20"/>
              </w:rPr>
              <w:t xml:space="preserve">кв. м</w:t>
            </w:r>
          </w:p>
        </w:tc>
        <w:tc>
          <w:tcPr>
            <w:tcW w:w="2381" w:type="dxa"/>
          </w:tcPr>
          <w:p>
            <w:pPr>
              <w:pStyle w:val="0"/>
            </w:pPr>
            <w:r>
              <w:rPr>
                <w:sz w:val="20"/>
              </w:rPr>
              <w:t xml:space="preserve">0</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0</w:t>
            </w:r>
          </w:p>
        </w:tc>
      </w:tr>
      <w:tr>
        <w:tc>
          <w:tcPr>
            <w:vMerge w:val="continue"/>
          </w:tcPr>
          <w:p/>
        </w:tc>
        <w:tc>
          <w:tcPr>
            <w:vMerge w:val="continue"/>
          </w:tcPr>
          <w:p/>
        </w:tc>
        <w:tc>
          <w:tcPr>
            <w:tcW w:w="1000" w:type="dxa"/>
          </w:tcPr>
          <w:p>
            <w:pPr>
              <w:pStyle w:val="0"/>
            </w:pPr>
            <w:r>
              <w:rPr>
                <w:sz w:val="20"/>
              </w:rPr>
              <w:t xml:space="preserve">2018</w:t>
            </w:r>
          </w:p>
        </w:tc>
        <w:tc>
          <w:tcPr>
            <w:vMerge w:val="continue"/>
          </w:tcPr>
          <w:p/>
        </w:tc>
        <w:tc>
          <w:tcPr>
            <w:tcW w:w="2381" w:type="dxa"/>
          </w:tcPr>
          <w:p>
            <w:pPr>
              <w:pStyle w:val="0"/>
            </w:pPr>
            <w:r>
              <w:rPr>
                <w:sz w:val="20"/>
              </w:rPr>
              <w:t xml:space="preserve">0</w:t>
            </w:r>
          </w:p>
        </w:tc>
      </w:tr>
      <w:tr>
        <w:tc>
          <w:tcPr>
            <w:tcW w:w="582" w:type="dxa"/>
            <w:vMerge w:val="restart"/>
          </w:tcPr>
          <w:p>
            <w:pPr>
              <w:pStyle w:val="0"/>
            </w:pPr>
            <w:r>
              <w:rPr>
                <w:sz w:val="20"/>
              </w:rPr>
              <w:t xml:space="preserve">16.</w:t>
            </w:r>
          </w:p>
        </w:tc>
        <w:tc>
          <w:tcPr>
            <w:tcW w:w="3912" w:type="dxa"/>
            <w:vMerge w:val="restart"/>
          </w:tcPr>
          <w:p>
            <w:pPr>
              <w:pStyle w:val="0"/>
            </w:pPr>
            <w:r>
              <w:rPr>
                <w:sz w:val="20"/>
              </w:rPr>
              <w:t xml:space="preserve">Количество мест в дошкольных образовательных организациях на 1 тыс. детей дошкольного возраста</w:t>
            </w:r>
          </w:p>
        </w:tc>
        <w:tc>
          <w:tcPr>
            <w:tcW w:w="1000" w:type="dxa"/>
          </w:tcPr>
          <w:p>
            <w:pPr>
              <w:pStyle w:val="0"/>
            </w:pPr>
            <w:r>
              <w:rPr>
                <w:sz w:val="20"/>
              </w:rPr>
              <w:t xml:space="preserve">2016</w:t>
            </w:r>
          </w:p>
        </w:tc>
        <w:tc>
          <w:tcPr>
            <w:tcW w:w="1178" w:type="dxa"/>
            <w:vMerge w:val="restart"/>
          </w:tcPr>
          <w:p>
            <w:pPr>
              <w:pStyle w:val="0"/>
            </w:pPr>
            <w:r>
              <w:rPr>
                <w:sz w:val="20"/>
              </w:rPr>
              <w:t xml:space="preserve">мест</w:t>
            </w:r>
          </w:p>
        </w:tc>
        <w:tc>
          <w:tcPr>
            <w:tcW w:w="2381" w:type="dxa"/>
          </w:tcPr>
          <w:p>
            <w:pPr>
              <w:pStyle w:val="0"/>
            </w:pPr>
            <w:r>
              <w:rPr>
                <w:sz w:val="20"/>
              </w:rPr>
              <w:t xml:space="preserve">657</w:t>
            </w:r>
          </w:p>
        </w:tc>
      </w:tr>
      <w:tr>
        <w:tc>
          <w:tcPr>
            <w:vMerge w:val="continue"/>
          </w:tcPr>
          <w:p/>
        </w:tc>
        <w:tc>
          <w:tcPr>
            <w:vMerge w:val="continue"/>
          </w:tcPr>
          <w:p/>
        </w:tc>
        <w:tc>
          <w:tcPr>
            <w:tcW w:w="1000" w:type="dxa"/>
          </w:tcPr>
          <w:p>
            <w:pPr>
              <w:pStyle w:val="0"/>
            </w:pPr>
            <w:r>
              <w:rPr>
                <w:sz w:val="20"/>
              </w:rPr>
              <w:t xml:space="preserve">2017</w:t>
            </w:r>
          </w:p>
        </w:tc>
        <w:tc>
          <w:tcPr>
            <w:vMerge w:val="continue"/>
          </w:tcPr>
          <w:p/>
        </w:tc>
        <w:tc>
          <w:tcPr>
            <w:tcW w:w="2381" w:type="dxa"/>
          </w:tcPr>
          <w:p>
            <w:pPr>
              <w:pStyle w:val="0"/>
            </w:pPr>
            <w:r>
              <w:rPr>
                <w:sz w:val="20"/>
              </w:rPr>
              <w:t xml:space="preserve">711</w:t>
            </w:r>
          </w:p>
        </w:tc>
      </w:tr>
      <w:tr>
        <w:tc>
          <w:tcPr>
            <w:vMerge w:val="continue"/>
          </w:tcPr>
          <w:p/>
        </w:tc>
        <w:tc>
          <w:tcPr>
            <w:vMerge w:val="continue"/>
          </w:tcPr>
          <w:p/>
        </w:tc>
        <w:tc>
          <w:tcPr>
            <w:tcW w:w="1000" w:type="dxa"/>
          </w:tcPr>
          <w:p>
            <w:pPr>
              <w:pStyle w:val="0"/>
            </w:pPr>
            <w:r>
              <w:rPr>
                <w:sz w:val="20"/>
              </w:rPr>
              <w:t xml:space="preserve">2018 (оценка)</w:t>
            </w:r>
          </w:p>
        </w:tc>
        <w:tc>
          <w:tcPr>
            <w:vMerge w:val="continue"/>
          </w:tcPr>
          <w:p/>
        </w:tc>
        <w:tc>
          <w:tcPr>
            <w:tcW w:w="2381" w:type="dxa"/>
          </w:tcPr>
          <w:p>
            <w:pPr>
              <w:pStyle w:val="0"/>
            </w:pPr>
            <w:r>
              <w:rPr>
                <w:sz w:val="20"/>
              </w:rPr>
              <w:t xml:space="preserve">740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Подпрограмме</w:t>
      </w:r>
    </w:p>
    <w:p>
      <w:pPr>
        <w:pStyle w:val="0"/>
        <w:jc w:val="both"/>
      </w:pPr>
      <w:r>
        <w:rPr>
          <w:sz w:val="20"/>
        </w:rPr>
      </w:r>
    </w:p>
    <w:p>
      <w:pPr>
        <w:pStyle w:val="2"/>
        <w:jc w:val="center"/>
      </w:pPr>
      <w:r>
        <w:rPr>
          <w:sz w:val="20"/>
        </w:rPr>
        <w:t xml:space="preserve">ОПИСАНИЕ</w:t>
      </w:r>
    </w:p>
    <w:p>
      <w:pPr>
        <w:pStyle w:val="2"/>
        <w:jc w:val="center"/>
      </w:pPr>
      <w:r>
        <w:rPr>
          <w:sz w:val="20"/>
        </w:rPr>
        <w:t xml:space="preserve">ТЕРРИТОРИИ ВСЕЛЕНИЯ ХАНТЫ-МАНСИЙСКОГО АВТОНОМНОГО</w:t>
      </w:r>
    </w:p>
    <w:p>
      <w:pPr>
        <w:pStyle w:val="2"/>
        <w:jc w:val="center"/>
      </w:pPr>
      <w:r>
        <w:rPr>
          <w:sz w:val="20"/>
        </w:rPr>
        <w:t xml:space="preserve">ОКРУГА - ЮГРЫ</w:t>
      </w:r>
    </w:p>
    <w:p>
      <w:pPr>
        <w:pStyle w:val="0"/>
        <w:jc w:val="both"/>
      </w:pPr>
      <w:r>
        <w:rPr>
          <w:sz w:val="20"/>
        </w:rPr>
      </w:r>
    </w:p>
    <w:p>
      <w:pPr>
        <w:pStyle w:val="0"/>
        <w:ind w:firstLine="540"/>
        <w:jc w:val="both"/>
      </w:pPr>
      <w:r>
        <w:rPr>
          <w:sz w:val="20"/>
        </w:rPr>
        <w:t xml:space="preserve">Автономный округ входит в состав Уральского федерального округа (далее - УрФО) и располагается в центральной части Западной Сибири.</w:t>
      </w:r>
    </w:p>
    <w:p>
      <w:pPr>
        <w:pStyle w:val="0"/>
        <w:spacing w:before="200" w:line-rule="auto"/>
        <w:ind w:firstLine="540"/>
        <w:jc w:val="both"/>
      </w:pPr>
      <w:r>
        <w:rPr>
          <w:sz w:val="20"/>
        </w:rPr>
        <w:t xml:space="preserve">Площадь территории автономного округа составляет 534,8 тыс. кв. км.</w:t>
      </w:r>
    </w:p>
    <w:p>
      <w:pPr>
        <w:pStyle w:val="0"/>
        <w:spacing w:before="200" w:line-rule="auto"/>
        <w:ind w:firstLine="540"/>
        <w:jc w:val="both"/>
      </w:pPr>
      <w:r>
        <w:rPr>
          <w:sz w:val="20"/>
        </w:rPr>
        <w:t xml:space="preserve">Автономный округ граничит одновременно с 6 субъектами Российской Федерации. Расположен в зоне таежных лесов и болот. Рельеф региона разнообразен: на его территории есть равнины, предгорья и горы. Высшие точки - гора Народная (1 895 м) на Приполярном Урале и гора Педы (1010 м) на Северном Урале.</w:t>
      </w:r>
    </w:p>
    <w:p>
      <w:pPr>
        <w:pStyle w:val="0"/>
        <w:spacing w:before="200" w:line-rule="auto"/>
        <w:ind w:firstLine="540"/>
        <w:jc w:val="both"/>
      </w:pPr>
      <w:r>
        <w:rPr>
          <w:sz w:val="20"/>
        </w:rPr>
        <w:t xml:space="preserve">В регионе протекают 2 крупные реки: Обь, протяженностью 3 650 км и ее приток Иртыш, длина которого 3 580 км.</w:t>
      </w:r>
    </w:p>
    <w:p>
      <w:pPr>
        <w:pStyle w:val="0"/>
        <w:spacing w:before="200" w:line-rule="auto"/>
        <w:ind w:firstLine="540"/>
        <w:jc w:val="both"/>
      </w:pPr>
      <w:r>
        <w:rPr>
          <w:sz w:val="20"/>
        </w:rPr>
        <w:t xml:space="preserve">Климат округа умеренный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pPr>
        <w:pStyle w:val="0"/>
        <w:spacing w:before="200" w:line-rule="auto"/>
        <w:ind w:firstLine="540"/>
        <w:jc w:val="both"/>
      </w:pPr>
      <w:r>
        <w:rPr>
          <w:sz w:val="20"/>
        </w:rPr>
        <w:t xml:space="preserve">Численность населения автономного округа на начало 2019 года составила 1 663,8 тыс. человек.</w:t>
      </w:r>
    </w:p>
    <w:p>
      <w:pPr>
        <w:pStyle w:val="0"/>
        <w:spacing w:before="200" w:line-rule="auto"/>
        <w:ind w:firstLine="540"/>
        <w:jc w:val="both"/>
      </w:pPr>
      <w:r>
        <w:rPr>
          <w:sz w:val="20"/>
        </w:rPr>
        <w:t xml:space="preserve">В состав автономного округа входят 105 муниципальных образований (9 районов, 13 городских округов, 26 городских и 57 сельских поселений), в которых 195 населенных пунктов.</w:t>
      </w:r>
    </w:p>
    <w:p>
      <w:pPr>
        <w:pStyle w:val="0"/>
        <w:spacing w:before="200" w:line-rule="auto"/>
        <w:ind w:firstLine="540"/>
        <w:jc w:val="both"/>
      </w:pPr>
      <w:r>
        <w:rPr>
          <w:sz w:val="20"/>
        </w:rPr>
        <w:t xml:space="preserve">Автономный округ занимает лидирующие позиции среди субъектов Российской Федерации по объему промышленного производства, производству электроэнергии, добыче нефти и газа, объему инвестиций в основной капитал ведется добыча нефти.</w:t>
      </w:r>
    </w:p>
    <w:p>
      <w:pPr>
        <w:pStyle w:val="0"/>
        <w:spacing w:before="200" w:line-rule="auto"/>
        <w:ind w:firstLine="540"/>
        <w:jc w:val="both"/>
      </w:pPr>
      <w:r>
        <w:rPr>
          <w:sz w:val="20"/>
        </w:rPr>
        <w:t xml:space="preserve">На территории региона открыто 475 нефтяных и газовых месторождений.</w:t>
      </w:r>
    </w:p>
    <w:p>
      <w:pPr>
        <w:pStyle w:val="0"/>
        <w:spacing w:before="200" w:line-rule="auto"/>
        <w:ind w:firstLine="540"/>
        <w:jc w:val="both"/>
      </w:pPr>
      <w:r>
        <w:rPr>
          <w:sz w:val="20"/>
        </w:rPr>
        <w:t xml:space="preserve">За 2018 год в автономном округе добыто 236,5 млн. тонн нефти, что на 0,5% больше добычи 2017 года. С начала разработки нефтяных месторождений на территории автономного округа (1964 год) по состоянию на 1 января 2019 года накопленная добыча нефти - 11 679,8 млн. тонн. Доля региона в общероссийской добыче нефти - 42,5%.</w:t>
      </w:r>
    </w:p>
    <w:p>
      <w:pPr>
        <w:pStyle w:val="0"/>
        <w:spacing w:before="200" w:line-rule="auto"/>
        <w:ind w:firstLine="540"/>
        <w:jc w:val="both"/>
      </w:pPr>
      <w:r>
        <w:rPr>
          <w:sz w:val="20"/>
        </w:rPr>
        <w:t xml:space="preserve">В 2018 году добыча попутного нефтяного и природного газа в автономном округе составила 36,0 млрд. куб. м Из них попутного нефтяного газа добыто 35,0 млрд. куб. м (уровень использования - 95,6%), природного газа - 1,1 млрд. куб. м Доля автономного округа в общем объеме добычи газа в России - 4,8%.</w:t>
      </w:r>
    </w:p>
    <w:p>
      <w:pPr>
        <w:pStyle w:val="0"/>
        <w:spacing w:before="200" w:line-rule="auto"/>
        <w:ind w:firstLine="540"/>
        <w:jc w:val="both"/>
      </w:pPr>
      <w:r>
        <w:rPr>
          <w:sz w:val="20"/>
        </w:rPr>
        <w:t xml:space="preserve">Объем инвестиций в основной капитал по полному кругу предприятий за счет всех источников финансирования за 2018 год - 922,1 млрд. рублей, или 101,9% к уровню 2017 года. По источникам финансирования основную долю занимают собственные средства предприятий - 85,7%, привлеченные средства - 14,3%. Доля бюджетных средств в общем объеме инвестиций - 2,4%.</w:t>
      </w:r>
    </w:p>
    <w:p>
      <w:pPr>
        <w:pStyle w:val="0"/>
        <w:spacing w:before="200" w:line-rule="auto"/>
        <w:ind w:firstLine="540"/>
        <w:jc w:val="both"/>
      </w:pPr>
      <w:r>
        <w:rPr>
          <w:sz w:val="20"/>
        </w:rPr>
        <w:t xml:space="preserve">Среди субъектов Российской Федерации автономный округ занимает 3 место по объему инвестиций в основной капитал и 3 место по объему инвестиций на душу населения с номиналом в 555,7 тыс. рублей. Инвестиции на душу населения в автономном округе в 4,6 раза превышают среднероссийский показатель.</w:t>
      </w:r>
    </w:p>
    <w:p>
      <w:pPr>
        <w:pStyle w:val="0"/>
        <w:spacing w:before="200" w:line-rule="auto"/>
        <w:ind w:firstLine="540"/>
        <w:jc w:val="both"/>
      </w:pPr>
      <w:r>
        <w:rPr>
          <w:sz w:val="20"/>
        </w:rPr>
        <w:t xml:space="preserve">В 2018 году отгружено товаров собственного производства и выполнено работ (услуг) по полному кругу организаций - производителей промышленной продукции в объеме 4 735,3 млрд. рублей.</w:t>
      </w:r>
    </w:p>
    <w:p>
      <w:pPr>
        <w:pStyle w:val="0"/>
        <w:spacing w:before="200" w:line-rule="auto"/>
        <w:ind w:firstLine="540"/>
        <w:jc w:val="both"/>
      </w:pPr>
      <w:r>
        <w:rPr>
          <w:sz w:val="20"/>
        </w:rPr>
        <w:t xml:space="preserve">Предприятиями электроэнергетики автономного округа произведено 86,4 млрд. кВтч электроэнергии (2017 год - 88,7 млрд. кВтч электроэнергии).</w:t>
      </w:r>
    </w:p>
    <w:p>
      <w:pPr>
        <w:pStyle w:val="0"/>
        <w:spacing w:before="200" w:line-rule="auto"/>
        <w:ind w:firstLine="540"/>
        <w:jc w:val="both"/>
      </w:pPr>
      <w:r>
        <w:rPr>
          <w:sz w:val="20"/>
        </w:rPr>
        <w:t xml:space="preserve">В структуре производства обрабатывающего сектора организации лесопромышленного комплекса занимают 1,1%. Объем отгруженных товаров собственного производства, выполненных работ и услуг собственными силами по видам экономической деятельности "обработка древесины и производство изделий из дерева и пробки, кроме мебели" в 2018 году составил 7035,5 млн. рублей, увеличение по сравнению с 2017 годом на 31,6%.</w:t>
      </w:r>
    </w:p>
    <w:p>
      <w:pPr>
        <w:pStyle w:val="0"/>
        <w:spacing w:before="200" w:line-rule="auto"/>
        <w:ind w:firstLine="540"/>
        <w:jc w:val="both"/>
      </w:pPr>
      <w:r>
        <w:rPr>
          <w:sz w:val="20"/>
        </w:rPr>
        <w:t xml:space="preserve">Среди продуктов молочной отрасли рост наблюдается в производстве сыра, сливок (на 41,9% и 13,4% соответственно по сравнению с производством в 2017 году).</w:t>
      </w:r>
    </w:p>
    <w:p>
      <w:pPr>
        <w:pStyle w:val="0"/>
        <w:spacing w:before="200" w:line-rule="auto"/>
        <w:ind w:firstLine="540"/>
        <w:jc w:val="both"/>
      </w:pPr>
      <w:r>
        <w:rPr>
          <w:sz w:val="20"/>
        </w:rPr>
        <w:t xml:space="preserve">В регионе произведено сельскохозяйственной продукции во всех категориях хозяйств на сумму 10,3 млрд. рублей, или 100,7% к 2017 году.</w:t>
      </w:r>
    </w:p>
    <w:p>
      <w:pPr>
        <w:pStyle w:val="0"/>
        <w:spacing w:before="200" w:line-rule="auto"/>
        <w:ind w:firstLine="540"/>
        <w:jc w:val="both"/>
      </w:pPr>
      <w:r>
        <w:rPr>
          <w:sz w:val="20"/>
        </w:rPr>
        <w:t xml:space="preserve">Объем работ, выполненный собственными силами по виду экономической деятельности "строительство", в 2018 году составил 338,1 млрд. рублей, или 159,5% к уровню 2017 года. Введено 586,0 тыс. кв. м общей площади жилых домов, из них 122,9 тыс. кв. м, или 21,0% приходится на индивидуальное жилищное строительство.</w:t>
      </w:r>
    </w:p>
    <w:p>
      <w:pPr>
        <w:pStyle w:val="0"/>
        <w:spacing w:before="200" w:line-rule="auto"/>
        <w:ind w:firstLine="540"/>
        <w:jc w:val="both"/>
      </w:pPr>
      <w:r>
        <w:rPr>
          <w:sz w:val="20"/>
        </w:rPr>
        <w:t xml:space="preserve">Общая площадь жилых помещений, приходящихся в среднем на 1 жителя региона, на 1 января 2019 года составила 20,9 кв. м.</w:t>
      </w:r>
    </w:p>
    <w:p>
      <w:pPr>
        <w:pStyle w:val="0"/>
        <w:spacing w:before="200" w:line-rule="auto"/>
        <w:ind w:firstLine="540"/>
        <w:jc w:val="both"/>
      </w:pPr>
      <w:r>
        <w:rPr>
          <w:sz w:val="20"/>
        </w:rPr>
        <w:t xml:space="preserve">Среди субъектов Российской Федерации автономный округ занимает 3 место по объему работ, выполненных по виду деятельности "строительство" на душу населения с номиналом в 203,8 тыс. рублей.</w:t>
      </w:r>
    </w:p>
    <w:p>
      <w:pPr>
        <w:pStyle w:val="0"/>
        <w:spacing w:before="200" w:line-rule="auto"/>
        <w:ind w:firstLine="540"/>
        <w:jc w:val="both"/>
      </w:pPr>
      <w:r>
        <w:rPr>
          <w:sz w:val="20"/>
        </w:rPr>
        <w:t xml:space="preserve">На 1 января 2019 года протяженность автомобильных дорог общего пользования федерального, регионального, межмуниципального и местного значения на территории автономного округа составила 7 024,0 км, из них:</w:t>
      </w:r>
    </w:p>
    <w:p>
      <w:pPr>
        <w:pStyle w:val="0"/>
        <w:spacing w:before="200" w:line-rule="auto"/>
        <w:ind w:firstLine="540"/>
        <w:jc w:val="both"/>
      </w:pPr>
      <w:r>
        <w:rPr>
          <w:sz w:val="20"/>
        </w:rPr>
        <w:t xml:space="preserve">регионального значения - 2 775,3 км;</w:t>
      </w:r>
    </w:p>
    <w:p>
      <w:pPr>
        <w:pStyle w:val="0"/>
        <w:spacing w:before="200" w:line-rule="auto"/>
        <w:ind w:firstLine="540"/>
        <w:jc w:val="both"/>
      </w:pPr>
      <w:r>
        <w:rPr>
          <w:sz w:val="20"/>
        </w:rPr>
        <w:t xml:space="preserve">федерального значения - 415,7 км.</w:t>
      </w:r>
    </w:p>
    <w:p>
      <w:pPr>
        <w:pStyle w:val="0"/>
        <w:spacing w:before="200" w:line-rule="auto"/>
        <w:ind w:firstLine="540"/>
        <w:jc w:val="both"/>
      </w:pPr>
      <w:r>
        <w:rPr>
          <w:sz w:val="20"/>
        </w:rPr>
        <w:t xml:space="preserve">Общий охват населения высокоскоростным Интернетом составляет 98,5%. Ведется работа по обеспечению скоростного доступа к Интернету в удаленных и труднодоступных населенных пунктах.</w:t>
      </w:r>
    </w:p>
    <w:p>
      <w:pPr>
        <w:pStyle w:val="0"/>
        <w:spacing w:before="200" w:line-rule="auto"/>
        <w:ind w:firstLine="540"/>
        <w:jc w:val="both"/>
      </w:pPr>
      <w:r>
        <w:rPr>
          <w:sz w:val="20"/>
        </w:rPr>
        <w:t xml:space="preserve">Сотовой связью охвачен 181 населенный пункт из 195, в которых проживают 1 654,2 тыс. человек, или 99,7% населения.</w:t>
      </w:r>
    </w:p>
    <w:p>
      <w:pPr>
        <w:pStyle w:val="0"/>
        <w:spacing w:before="200" w:line-rule="auto"/>
        <w:ind w:firstLine="540"/>
        <w:jc w:val="both"/>
      </w:pPr>
      <w:r>
        <w:rPr>
          <w:sz w:val="20"/>
        </w:rPr>
        <w:t xml:space="preserve">Общая площадь жилищного фонда на 1 января 2019 года составила 34,8 млн. кв. м. Структура жилищного фонда на 90,5% представлена частной формой собственности, 8,2% муниципальной и 1,3% государственной и смешанной форм собственности.</w:t>
      </w:r>
    </w:p>
    <w:p>
      <w:pPr>
        <w:pStyle w:val="0"/>
        <w:spacing w:before="200" w:line-rule="auto"/>
        <w:ind w:firstLine="540"/>
        <w:jc w:val="both"/>
      </w:pPr>
      <w:r>
        <w:rPr>
          <w:sz w:val="20"/>
        </w:rPr>
        <w:t xml:space="preserve">В автономном округе уровень благоустройства жилищного фонда одновременно водопроводом, водоотведением (канализацией), отоплением, горячим водоснабжением, газом или напольными электрическими плитами составляет 85,9%, при этом в городах - 87,4%, в сельских населенных пунктах - 49,9%.</w:t>
      </w:r>
    </w:p>
    <w:p>
      <w:pPr>
        <w:pStyle w:val="0"/>
        <w:spacing w:before="200" w:line-rule="auto"/>
        <w:ind w:firstLine="540"/>
        <w:jc w:val="both"/>
      </w:pPr>
      <w:r>
        <w:rPr>
          <w:sz w:val="20"/>
        </w:rPr>
        <w:t xml:space="preserve">Уровень газификации населенных пунктов региона составляет 41,4%, в том числе газификация городов - 100,0%, сельских населенных пунктов - 44,2%. Всего газифицировано 82 населенных пункта (113 - не газифицировано).</w:t>
      </w:r>
    </w:p>
    <w:p>
      <w:pPr>
        <w:pStyle w:val="0"/>
        <w:spacing w:before="200" w:line-rule="auto"/>
        <w:ind w:firstLine="540"/>
        <w:jc w:val="both"/>
      </w:pPr>
      <w:r>
        <w:rPr>
          <w:sz w:val="20"/>
        </w:rPr>
        <w:t xml:space="preserve">В автономном округе осуществляют деятельность 74,0 тыс. субъектов малого и среднего предпринимательства, в том числе:</w:t>
      </w:r>
    </w:p>
    <w:p>
      <w:pPr>
        <w:pStyle w:val="0"/>
        <w:spacing w:before="200" w:line-rule="auto"/>
        <w:ind w:firstLine="540"/>
        <w:jc w:val="both"/>
      </w:pPr>
      <w:r>
        <w:rPr>
          <w:sz w:val="20"/>
        </w:rPr>
        <w:t xml:space="preserve">23 429 малых предприятий (с учетом микропредприятий);</w:t>
      </w:r>
    </w:p>
    <w:p>
      <w:pPr>
        <w:pStyle w:val="0"/>
        <w:spacing w:before="200" w:line-rule="auto"/>
        <w:ind w:firstLine="540"/>
        <w:jc w:val="both"/>
      </w:pPr>
      <w:r>
        <w:rPr>
          <w:sz w:val="20"/>
        </w:rPr>
        <w:t xml:space="preserve">16 средних предприятий;</w:t>
      </w:r>
    </w:p>
    <w:p>
      <w:pPr>
        <w:pStyle w:val="0"/>
        <w:spacing w:before="200" w:line-rule="auto"/>
        <w:ind w:firstLine="540"/>
        <w:jc w:val="both"/>
      </w:pPr>
      <w:r>
        <w:rPr>
          <w:sz w:val="20"/>
        </w:rPr>
        <w:t xml:space="preserve">50 380 индивидуальных предпринимателей.</w:t>
      </w:r>
    </w:p>
    <w:p>
      <w:pPr>
        <w:pStyle w:val="0"/>
        <w:spacing w:before="200" w:line-rule="auto"/>
        <w:ind w:firstLine="540"/>
        <w:jc w:val="both"/>
      </w:pPr>
      <w:r>
        <w:rPr>
          <w:sz w:val="20"/>
        </w:rPr>
        <w:t xml:space="preserve">Наиболее востребованными видами экономической деятельности в сфере малого и среднего предпринимательства остаются: торговля оптовая и розничная; ремонт автотранспортных средств и мотоциклов; транспортные услуги; строительство; деятельность по операциям с недвижимым имуществом; обрабатывающие производства.</w:t>
      </w:r>
    </w:p>
    <w:p>
      <w:pPr>
        <w:pStyle w:val="0"/>
        <w:spacing w:before="200" w:line-rule="auto"/>
        <w:ind w:firstLine="540"/>
        <w:jc w:val="both"/>
      </w:pPr>
      <w:r>
        <w:rPr>
          <w:sz w:val="20"/>
        </w:rPr>
        <w:t xml:space="preserve">Среди регионов Российской Федерации, субъектов Уральского федерального округа автономный округ отличается высоким показателем величины номинальных денежных доходов населения (8 место среди субъектов Российской Федерации и 2 место среди субъектов УФО).</w:t>
      </w:r>
    </w:p>
    <w:p>
      <w:pPr>
        <w:pStyle w:val="0"/>
        <w:spacing w:before="200" w:line-rule="auto"/>
        <w:ind w:firstLine="540"/>
        <w:jc w:val="both"/>
      </w:pPr>
      <w:r>
        <w:rPr>
          <w:sz w:val="20"/>
        </w:rPr>
        <w:t xml:space="preserve">Наибольшие темпы роста заработной платы по сравнению с 2017 годом отмечены по следующим видам деятельности: здравоохранение и социальные услуги - 17,2%; культура, спорт, организации досуга и развлечений - 8,0%, образование - 10,1%.</w:t>
      </w:r>
    </w:p>
    <w:p>
      <w:pPr>
        <w:pStyle w:val="0"/>
        <w:spacing w:before="200" w:line-rule="auto"/>
        <w:ind w:firstLine="540"/>
        <w:jc w:val="both"/>
      </w:pPr>
      <w:r>
        <w:rPr>
          <w:sz w:val="20"/>
        </w:rPr>
        <w:t xml:space="preserve">Наиболее полная информация об истории, климатических условиях, общественно-политической жизни, экономическом развитии автономного округа представлена на едином официальном сайте государственных органов автономного округа: </w:t>
      </w:r>
      <w:r>
        <w:rPr>
          <w:sz w:val="20"/>
        </w:rPr>
        <w:t xml:space="preserve">http://www.admhmao.ru</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Подпрограмме</w:t>
      </w:r>
    </w:p>
    <w:p>
      <w:pPr>
        <w:pStyle w:val="0"/>
        <w:jc w:val="both"/>
      </w:pPr>
      <w:r>
        <w:rPr>
          <w:sz w:val="20"/>
        </w:rPr>
      </w:r>
    </w:p>
    <w:p>
      <w:pPr>
        <w:pStyle w:val="2"/>
        <w:jc w:val="center"/>
      </w:pPr>
      <w:r>
        <w:rPr>
          <w:sz w:val="20"/>
        </w:rPr>
        <w:t xml:space="preserve">ПОРЯДОК</w:t>
      </w:r>
    </w:p>
    <w:p>
      <w:pPr>
        <w:pStyle w:val="2"/>
        <w:jc w:val="center"/>
      </w:pPr>
      <w:r>
        <w:rPr>
          <w:sz w:val="20"/>
        </w:rPr>
        <w:t xml:space="preserve">ПРИЕМА УЧАСТНИКОВ ГОСУДАРСТВЕННОЙ ПРОГРАММЫ И ЧЛЕНОВ ИХ</w:t>
      </w:r>
    </w:p>
    <w:p>
      <w:pPr>
        <w:pStyle w:val="2"/>
        <w:jc w:val="center"/>
      </w:pPr>
      <w:r>
        <w:rPr>
          <w:sz w:val="20"/>
        </w:rPr>
        <w:t xml:space="preserve">СЕМЕЙ, ИХ ВРЕМЕННОГО РАЗМЕЩЕНИЯ, ПРЕДОСТАВЛЕНИЯ ПРАВОВОГО</w:t>
      </w:r>
    </w:p>
    <w:p>
      <w:pPr>
        <w:pStyle w:val="2"/>
        <w:jc w:val="center"/>
      </w:pPr>
      <w:r>
        <w:rPr>
          <w:sz w:val="20"/>
        </w:rPr>
        <w:t xml:space="preserve">СТАТУСА И ОБУСТРОЙСТВА НА ТЕРРИТОРИИ ХАНТЫ-МАНСИЙСКОГО</w:t>
      </w:r>
    </w:p>
    <w:p>
      <w:pPr>
        <w:pStyle w:val="2"/>
        <w:jc w:val="center"/>
      </w:pPr>
      <w:r>
        <w:rPr>
          <w:sz w:val="20"/>
        </w:rPr>
        <w:t xml:space="preserve">АВТОНОМНОГО ОКРУГА - ЮГРЫ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9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01.07.2022 </w:t>
            </w:r>
            <w:hyperlink w:history="0" r:id="rId100"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298-п</w:t>
              </w:r>
            </w:hyperlink>
            <w:r>
              <w:rPr>
                <w:sz w:val="20"/>
                <w:color w:val="392c69"/>
              </w:rPr>
              <w:t xml:space="preserve">, от 14.10.2022 </w:t>
            </w:r>
            <w:hyperlink w:history="0" r:id="rId101"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color w:val="392c69"/>
              </w:rPr>
              <w:t xml:space="preserve">, от 14.07.2023 </w:t>
            </w:r>
            <w:hyperlink w:history="0" r:id="rId10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Порядок определяет прием участников Государственной программы и членов их семей, их временного размещения, предоставления правового статуса и обустройства на территории автономного округа, функции ответственных территориальных органов федеральных органов исполнительной власти, исполнительных органов автономного округа, механизм их взаимодействия по согласованию кандидатур соотечественников, представлению им мер государственной поддержки.</w:t>
      </w:r>
    </w:p>
    <w:p>
      <w:pPr>
        <w:pStyle w:val="0"/>
        <w:jc w:val="both"/>
      </w:pPr>
      <w:r>
        <w:rPr>
          <w:sz w:val="20"/>
        </w:rPr>
        <w:t xml:space="preserve">(в ред. </w:t>
      </w:r>
      <w:hyperlink w:history="0" r:id="rId103"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1.2. Применяются следующие сокращения:</w:t>
      </w:r>
    </w:p>
    <w:p>
      <w:pPr>
        <w:pStyle w:val="0"/>
        <w:spacing w:before="200" w:line-rule="auto"/>
        <w:ind w:firstLine="540"/>
        <w:jc w:val="both"/>
      </w:pPr>
      <w:r>
        <w:rPr>
          <w:sz w:val="20"/>
        </w:rPr>
        <w:t xml:space="preserve">квалифицированный специалист - соотечественник, имеющий опыт работы, навыки или достижения в конкретной области деятельности по имеющейся у него профессии (квалификации), подтвержденной документом об образовании, если условия привлечения его к трудовой деятельности в автономном округе предполагают получение им заработной платы (вознаграждения);</w:t>
      </w:r>
    </w:p>
    <w:p>
      <w:pPr>
        <w:pStyle w:val="0"/>
        <w:spacing w:before="200" w:line-rule="auto"/>
        <w:ind w:firstLine="540"/>
        <w:jc w:val="both"/>
      </w:pPr>
      <w:r>
        <w:rPr>
          <w:sz w:val="20"/>
        </w:rPr>
        <w:t xml:space="preserve">высококвалифицированный специалист - соотечественник, являющийся квалифицированным специалистом из числа руководителей учреждений, организаций и предприятий, специалистов среднего и высшего уровня квалификации из первой, второй, третьей групп Общероссийского </w:t>
      </w:r>
      <w:hyperlink w:history="0" r:id="rId104" w:tooltip="&quot;ОК 010-2014 (МСКЗ-08). Общероссийский классификатор занятий&quot; (принят и введен в действие Приказом Росстандарта от 12.12.2014 N 2020-ст) (ред. от 18.02.2021) {КонсультантПлюс}">
        <w:r>
          <w:rPr>
            <w:sz w:val="20"/>
            <w:color w:val="0000ff"/>
          </w:rPr>
          <w:t xml:space="preserve">классификатора</w:t>
        </w:r>
      </w:hyperlink>
      <w:r>
        <w:rPr>
          <w:sz w:val="20"/>
        </w:rPr>
        <w:t xml:space="preserve"> занятий (ОК 010-2014 (МСКЗ-08), принят и введен в действие приказом Федерального агентства по техническому регулированию и метрологии от 12 декабря 2014 года N 2020-ст);</w:t>
      </w:r>
    </w:p>
    <w:p>
      <w:pPr>
        <w:pStyle w:val="0"/>
        <w:jc w:val="both"/>
      </w:pPr>
      <w:r>
        <w:rPr>
          <w:sz w:val="20"/>
        </w:rPr>
        <w:t xml:space="preserve">(в ред. </w:t>
      </w:r>
      <w:hyperlink w:history="0" r:id="rId105"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постоянное место работы - рабочее место, на котором соотечественник, временно или постоянно проживающий на законном основании на территории автономного округа, осуществляет трудовую деятельность не менее 12 месяцев, предшествующих дате подачи заявления;</w:t>
      </w:r>
    </w:p>
    <w:p>
      <w:pPr>
        <w:pStyle w:val="0"/>
        <w:spacing w:before="200" w:line-rule="auto"/>
        <w:ind w:firstLine="540"/>
        <w:jc w:val="both"/>
      </w:pPr>
      <w:r>
        <w:rPr>
          <w:sz w:val="20"/>
        </w:rPr>
        <w:t xml:space="preserve">уполномоченный орган за рубежом - уполномоченные органы, осуществляющие работу за рубежом с соотечественниками, желающими добровольно переселиться в Российскую Федерацию, в соответствии с </w:t>
      </w:r>
      <w:hyperlink w:history="0" r:id="rId106" w:tooltip="Постановление Правительства РФ от 25.06.2007 N 403 (ред. от 29.03.2023) &quot;Об организации работы с соотечественниками, проживающими за рубежом и желающими добровольно переселиться в Российскую Федерацию&quot; {КонсультантПлюс}">
        <w:r>
          <w:rPr>
            <w:sz w:val="20"/>
            <w:color w:val="0000ff"/>
          </w:rPr>
          <w:t xml:space="preserve">постановлением</w:t>
        </w:r>
      </w:hyperlink>
      <w:r>
        <w:rPr>
          <w:sz w:val="20"/>
        </w:rPr>
        <w:t xml:space="preserve"> Правительства Российской Федерации от 25 июня 2007 года N 403 "Об организации работы соотечественниками, проживающими за рубежом и желающими добровольно переселиться в Российскую Федерацию";</w:t>
      </w:r>
    </w:p>
    <w:p>
      <w:pPr>
        <w:pStyle w:val="0"/>
        <w:spacing w:before="200" w:line-rule="auto"/>
        <w:ind w:firstLine="540"/>
        <w:jc w:val="both"/>
      </w:pPr>
      <w:r>
        <w:rPr>
          <w:sz w:val="20"/>
        </w:rPr>
        <w:t xml:space="preserve">заявление - заявление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центры занятости населения - казенные учреждения автономного округа центры занятости населения.</w:t>
      </w:r>
    </w:p>
    <w:p>
      <w:pPr>
        <w:pStyle w:val="0"/>
        <w:spacing w:before="200" w:line-rule="auto"/>
        <w:ind w:firstLine="540"/>
        <w:jc w:val="both"/>
      </w:pPr>
      <w:r>
        <w:rPr>
          <w:sz w:val="20"/>
        </w:rPr>
        <w:t xml:space="preserve">Иные термины и понятия, используемые в настоящем Порядке, применяются в значениях, определенных законодательством Российской Федерации в сфере миграционной политики, в том числе работы с соотечественниками, проживающими за рубежом и желающими добровольно переселиться в Российскую Федерацию.</w:t>
      </w:r>
    </w:p>
    <w:p>
      <w:pPr>
        <w:pStyle w:val="0"/>
        <w:spacing w:before="200" w:line-rule="auto"/>
        <w:ind w:firstLine="540"/>
        <w:jc w:val="both"/>
      </w:pPr>
      <w:r>
        <w:rPr>
          <w:sz w:val="20"/>
        </w:rPr>
        <w:t xml:space="preserve">1.3. Адреса:</w:t>
      </w:r>
    </w:p>
    <w:p>
      <w:pPr>
        <w:pStyle w:val="0"/>
        <w:spacing w:before="200" w:line-rule="auto"/>
        <w:ind w:firstLine="540"/>
        <w:jc w:val="both"/>
      </w:pPr>
      <w:r>
        <w:rPr>
          <w:sz w:val="20"/>
        </w:rPr>
        <w:t xml:space="preserve">Уполномоченного органа Югры: 628012, г. Ханты-Мансийск, ул. Карла Маркса, д. 12, тел.: (3467) 33-16-09, "горячая линия по вопросам трудовой миграции" (3467) 32-05-09;</w:t>
      </w:r>
    </w:p>
    <w:p>
      <w:pPr>
        <w:pStyle w:val="0"/>
        <w:spacing w:before="200" w:line-rule="auto"/>
        <w:ind w:firstLine="540"/>
        <w:jc w:val="both"/>
      </w:pPr>
      <w:r>
        <w:rPr>
          <w:sz w:val="20"/>
        </w:rPr>
        <w:t xml:space="preserve">Управления по вопросам миграции Министерства внутренних дел Российской Федерации по автономному округу (далее - Управление): 628950, г. Ханты-Мансийск, ул. Мира, д. 104, тел.: (3467) 96-24-16.</w:t>
      </w:r>
    </w:p>
    <w:p>
      <w:pPr>
        <w:pStyle w:val="0"/>
        <w:spacing w:before="200" w:line-rule="auto"/>
        <w:ind w:firstLine="540"/>
        <w:jc w:val="both"/>
      </w:pPr>
      <w:r>
        <w:rPr>
          <w:sz w:val="20"/>
        </w:rPr>
        <w:t xml:space="preserve">1.4. Уполномоченный орган Югры может передать часть своих функций по реализации Подпрограммы центрам занятости населения.</w:t>
      </w:r>
    </w:p>
    <w:p>
      <w:pPr>
        <w:pStyle w:val="0"/>
        <w:spacing w:before="200" w:line-rule="auto"/>
        <w:ind w:firstLine="540"/>
        <w:jc w:val="both"/>
      </w:pPr>
      <w:r>
        <w:rPr>
          <w:sz w:val="20"/>
        </w:rPr>
        <w:t xml:space="preserve">1.5. Информация о центрах занятости населения размещается на официальном сайте Уполномоченного органа Югры </w:t>
      </w:r>
      <w:r>
        <w:rPr>
          <w:sz w:val="20"/>
        </w:rPr>
        <w:t xml:space="preserve">http://www.deptrud.admhmao.ru</w:t>
      </w:r>
      <w:r>
        <w:rPr>
          <w:sz w:val="20"/>
        </w:rPr>
        <w:t xml:space="preserve"> и интерактивном портале </w:t>
      </w:r>
      <w:r>
        <w:rPr>
          <w:sz w:val="20"/>
        </w:rPr>
        <w:t xml:space="preserve">http://job.admhmao.ru</w:t>
      </w:r>
      <w:r>
        <w:rPr>
          <w:sz w:val="20"/>
        </w:rPr>
        <w:t xml:space="preserve">.</w:t>
      </w:r>
    </w:p>
    <w:p>
      <w:pPr>
        <w:pStyle w:val="0"/>
        <w:jc w:val="both"/>
      </w:pPr>
      <w:r>
        <w:rPr>
          <w:sz w:val="20"/>
        </w:rPr>
      </w:r>
    </w:p>
    <w:p>
      <w:pPr>
        <w:pStyle w:val="2"/>
        <w:outlineLvl w:val="2"/>
        <w:jc w:val="center"/>
      </w:pPr>
      <w:r>
        <w:rPr>
          <w:sz w:val="20"/>
        </w:rPr>
        <w:t xml:space="preserve">II. Информирование соотечественников и членов их семей</w:t>
      </w:r>
    </w:p>
    <w:p>
      <w:pPr>
        <w:pStyle w:val="2"/>
        <w:jc w:val="center"/>
      </w:pPr>
      <w:r>
        <w:rPr>
          <w:sz w:val="20"/>
        </w:rPr>
        <w:t xml:space="preserve">о возможности участия в Подпрограмме</w:t>
      </w:r>
    </w:p>
    <w:p>
      <w:pPr>
        <w:pStyle w:val="0"/>
        <w:jc w:val="both"/>
      </w:pPr>
      <w:r>
        <w:rPr>
          <w:sz w:val="20"/>
        </w:rPr>
      </w:r>
    </w:p>
    <w:p>
      <w:pPr>
        <w:pStyle w:val="0"/>
        <w:ind w:firstLine="540"/>
        <w:jc w:val="both"/>
      </w:pPr>
      <w:r>
        <w:rPr>
          <w:sz w:val="20"/>
        </w:rPr>
        <w:t xml:space="preserve">2.1. Уполномоченный орган Югры разрабатывает памятку соотечественнику и членам его семьи:</w:t>
      </w:r>
    </w:p>
    <w:p>
      <w:pPr>
        <w:pStyle w:val="0"/>
        <w:spacing w:before="200" w:line-rule="auto"/>
        <w:ind w:firstLine="540"/>
        <w:jc w:val="both"/>
      </w:pPr>
      <w:r>
        <w:rPr>
          <w:sz w:val="20"/>
        </w:rPr>
        <w:t xml:space="preserve">о содержании Подпрограммы, условиях переселения, необходимых административных процедурах, правах и обязанностях участников Государственной программы и членов их семей;</w:t>
      </w:r>
    </w:p>
    <w:p>
      <w:pPr>
        <w:pStyle w:val="0"/>
        <w:spacing w:before="200" w:line-rule="auto"/>
        <w:ind w:firstLine="540"/>
        <w:jc w:val="both"/>
      </w:pPr>
      <w:r>
        <w:rPr>
          <w:sz w:val="20"/>
        </w:rPr>
        <w:t xml:space="preserve">об условиях предоставления компенсации расходов по найму жилья участникам Государственной программы и членам их семей;</w:t>
      </w:r>
    </w:p>
    <w:p>
      <w:pPr>
        <w:pStyle w:val="0"/>
        <w:spacing w:before="200" w:line-rule="auto"/>
        <w:ind w:firstLine="540"/>
        <w:jc w:val="both"/>
      </w:pPr>
      <w:r>
        <w:rPr>
          <w:sz w:val="20"/>
        </w:rPr>
        <w:t xml:space="preserve">об условиях предоставления бесплатной медицинской помощи участникам Государственной программы и членам их семей до и после получения разрешения на временное проживание или до оформления гражданства Российской Федерации;</w:t>
      </w:r>
    </w:p>
    <w:p>
      <w:pPr>
        <w:pStyle w:val="0"/>
        <w:spacing w:before="200" w:line-rule="auto"/>
        <w:ind w:firstLine="540"/>
        <w:jc w:val="both"/>
      </w:pPr>
      <w:r>
        <w:rPr>
          <w:sz w:val="20"/>
        </w:rPr>
        <w:t xml:space="preserve">о муниципальных образованиях автономного округа, где для потенциальных участников Государственной программы и членов их семей в соответствии с их специальностью и квалификацией имеются наиболее благоприятные возможности приложения их труда.</w:t>
      </w:r>
    </w:p>
    <w:p>
      <w:pPr>
        <w:pStyle w:val="0"/>
        <w:spacing w:before="200" w:line-rule="auto"/>
        <w:ind w:firstLine="540"/>
        <w:jc w:val="both"/>
      </w:pPr>
      <w:r>
        <w:rPr>
          <w:sz w:val="20"/>
        </w:rPr>
        <w:t xml:space="preserve">2.2. Доведение до сведения соотечественников, проживающих за рубежом, информации, содержащейся в официальном информационном пакете о Государственной программе, в том числе информации о региональных программах переселения и данных, содержащихся на информационном портале АИС "Соотечественники", возлагается на уполномоченные органы за рубежом.</w:t>
      </w:r>
    </w:p>
    <w:p>
      <w:pPr>
        <w:pStyle w:val="0"/>
        <w:spacing w:before="200" w:line-rule="auto"/>
        <w:ind w:firstLine="540"/>
        <w:jc w:val="both"/>
      </w:pPr>
      <w:r>
        <w:rPr>
          <w:sz w:val="20"/>
        </w:rPr>
        <w:t xml:space="preserve">В случае отсутствия в иностранных государствах уполномоченного органа функции по информированию потенциальных участников Государственной программы возлагаются на дипломатические представительства и консульские учреждения Российской Федерации.</w:t>
      </w:r>
    </w:p>
    <w:p>
      <w:pPr>
        <w:pStyle w:val="0"/>
        <w:spacing w:before="200" w:line-rule="auto"/>
        <w:ind w:firstLine="540"/>
        <w:jc w:val="both"/>
      </w:pPr>
      <w:r>
        <w:rPr>
          <w:sz w:val="20"/>
        </w:rPr>
        <w:t xml:space="preserve">2.3. В соответствии с мероприятием "Информационное обеспечение реализации Подпрограммы" информационные материалы размещаются в печатных и электронных средствах массовой информации, на едином официальном сайте государственных органов автономного округа </w:t>
      </w:r>
      <w:r>
        <w:rPr>
          <w:sz w:val="20"/>
        </w:rPr>
        <w:t xml:space="preserve">http://www.admhmao.ru</w:t>
      </w:r>
      <w:r>
        <w:rPr>
          <w:sz w:val="20"/>
        </w:rPr>
        <w:t xml:space="preserve">, информирование соотечественников, проживающих за рубежом, осуществляется путем организации презентаций Подпрограммы международных мероприятий в странах ближнего и дальнего зарубежья.</w:t>
      </w:r>
    </w:p>
    <w:p>
      <w:pPr>
        <w:pStyle w:val="0"/>
        <w:jc w:val="both"/>
      </w:pPr>
      <w:r>
        <w:rPr>
          <w:sz w:val="20"/>
        </w:rPr>
      </w:r>
    </w:p>
    <w:p>
      <w:pPr>
        <w:pStyle w:val="2"/>
        <w:outlineLvl w:val="2"/>
        <w:jc w:val="center"/>
      </w:pPr>
      <w:r>
        <w:rPr>
          <w:sz w:val="20"/>
        </w:rPr>
        <w:t xml:space="preserve">III. Административные процедуры, связанные с участием</w:t>
      </w:r>
    </w:p>
    <w:p>
      <w:pPr>
        <w:pStyle w:val="2"/>
        <w:jc w:val="center"/>
      </w:pPr>
      <w:r>
        <w:rPr>
          <w:sz w:val="20"/>
        </w:rPr>
        <w:t xml:space="preserve">соотечественников в Государственной программе и членов их</w:t>
      </w:r>
    </w:p>
    <w:p>
      <w:pPr>
        <w:pStyle w:val="2"/>
        <w:jc w:val="center"/>
      </w:pPr>
      <w:r>
        <w:rPr>
          <w:sz w:val="20"/>
        </w:rPr>
        <w:t xml:space="preserve">семей</w:t>
      </w:r>
    </w:p>
    <w:p>
      <w:pPr>
        <w:pStyle w:val="0"/>
        <w:jc w:val="both"/>
      </w:pPr>
      <w:r>
        <w:rPr>
          <w:sz w:val="20"/>
        </w:rPr>
      </w:r>
    </w:p>
    <w:p>
      <w:pPr>
        <w:pStyle w:val="0"/>
        <w:ind w:firstLine="540"/>
        <w:jc w:val="both"/>
      </w:pPr>
      <w:r>
        <w:rPr>
          <w:sz w:val="20"/>
        </w:rPr>
        <w:t xml:space="preserve">3.1. Работа с соотечественниками, проживающими за рубежом, и членами их семей:</w:t>
      </w:r>
    </w:p>
    <w:p>
      <w:pPr>
        <w:pStyle w:val="0"/>
        <w:spacing w:before="200" w:line-rule="auto"/>
        <w:ind w:firstLine="540"/>
        <w:jc w:val="both"/>
      </w:pPr>
      <w:r>
        <w:rPr>
          <w:sz w:val="20"/>
        </w:rPr>
        <w:t xml:space="preserve">3.1.1. В соответствии с </w:t>
      </w:r>
      <w:hyperlink w:history="0" r:id="rId107" w:tooltip="Постановление Правительства РФ от 25.06.2007 N 403 (ред. от 29.03.2023) &quot;Об организации работы с соотечественниками, проживающими за рубежом и желающими добровольно переселиться в Российскую Федерацию&quot; {КонсультантПлюс}">
        <w:r>
          <w:rPr>
            <w:sz w:val="20"/>
            <w:color w:val="0000ff"/>
          </w:rPr>
          <w:t xml:space="preserve">постановлением</w:t>
        </w:r>
      </w:hyperlink>
      <w:r>
        <w:rPr>
          <w:sz w:val="20"/>
        </w:rP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работу с соотечественниками и членами их семей, проживающими за рубежом, осуществляют:</w:t>
      </w:r>
    </w:p>
    <w:p>
      <w:pPr>
        <w:pStyle w:val="0"/>
        <w:spacing w:before="200" w:line-rule="auto"/>
        <w:ind w:firstLine="540"/>
        <w:jc w:val="both"/>
      </w:pPr>
      <w:r>
        <w:rPr>
          <w:sz w:val="20"/>
        </w:rPr>
        <w:t xml:space="preserve">представительства или представители МВД России за рубежом;</w:t>
      </w:r>
    </w:p>
    <w:p>
      <w:pPr>
        <w:pStyle w:val="0"/>
        <w:spacing w:before="200" w:line-rule="auto"/>
        <w:ind w:firstLine="540"/>
        <w:jc w:val="both"/>
      </w:pPr>
      <w:r>
        <w:rPr>
          <w:sz w:val="20"/>
        </w:rPr>
        <w:t xml:space="preserve">дипломатические представительства и консульские учреждения Российской Федерации;</w:t>
      </w:r>
    </w:p>
    <w:p>
      <w:pPr>
        <w:pStyle w:val="0"/>
        <w:spacing w:before="200" w:line-rule="auto"/>
        <w:ind w:firstLine="540"/>
        <w:jc w:val="both"/>
      </w:pPr>
      <w:r>
        <w:rPr>
          <w:sz w:val="20"/>
        </w:rPr>
        <w:t xml:space="preserve">представительства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 российские центры науки и культуры за рубежом или представители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в составе дипломатических представительств Российской Федерации;</w:t>
      </w:r>
    </w:p>
    <w:p>
      <w:pPr>
        <w:pStyle w:val="0"/>
        <w:spacing w:before="200" w:line-rule="auto"/>
        <w:ind w:firstLine="540"/>
        <w:jc w:val="both"/>
      </w:pPr>
      <w:r>
        <w:rPr>
          <w:sz w:val="20"/>
        </w:rPr>
        <w:t xml:space="preserve">временные группы, создаваемые из числа специалистов Министерства внутренних дел России (далее - МВД России),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w:t>
      </w:r>
    </w:p>
    <w:p>
      <w:pPr>
        <w:pStyle w:val="0"/>
        <w:spacing w:before="200" w:line-rule="auto"/>
        <w:ind w:firstLine="540"/>
        <w:jc w:val="both"/>
      </w:pPr>
      <w:r>
        <w:rPr>
          <w:sz w:val="20"/>
        </w:rPr>
        <w:t xml:space="preserve">3.1.2. В отношении соотечественников, проживающих в Российской Федерации, функции по учету, углубленному разъяснению Государственной программы и предоставляемых ею возможностей, приему заявлений, оформлению свидетельства участника Государственной программы и проведению иных мероприятий в случае их обращения осуществляет Управление.</w:t>
      </w:r>
    </w:p>
    <w:p>
      <w:pPr>
        <w:pStyle w:val="0"/>
        <w:spacing w:before="200" w:line-rule="auto"/>
        <w:ind w:firstLine="540"/>
        <w:jc w:val="both"/>
      </w:pPr>
      <w:r>
        <w:rPr>
          <w:sz w:val="20"/>
        </w:rPr>
        <w:t xml:space="preserve">3.1.3. За пределами Российской Федерации заявление об участии в Государственной программе подают соотечественники в уполномоченный орган за рубежом в государствах их:</w:t>
      </w:r>
    </w:p>
    <w:p>
      <w:pPr>
        <w:pStyle w:val="0"/>
        <w:spacing w:before="200" w:line-rule="auto"/>
        <w:ind w:firstLine="540"/>
        <w:jc w:val="both"/>
      </w:pPr>
      <w:r>
        <w:rPr>
          <w:sz w:val="20"/>
        </w:rPr>
        <w:t xml:space="preserve">гражданской принадлежности;</w:t>
      </w:r>
    </w:p>
    <w:p>
      <w:pPr>
        <w:pStyle w:val="0"/>
        <w:spacing w:before="200" w:line-rule="auto"/>
        <w:ind w:firstLine="540"/>
        <w:jc w:val="both"/>
      </w:pPr>
      <w:r>
        <w:rPr>
          <w:sz w:val="20"/>
        </w:rPr>
        <w:t xml:space="preserve">постоянного проживания;</w:t>
      </w:r>
    </w:p>
    <w:p>
      <w:pPr>
        <w:pStyle w:val="0"/>
        <w:spacing w:before="200" w:line-rule="auto"/>
        <w:ind w:firstLine="540"/>
        <w:jc w:val="both"/>
      </w:pPr>
      <w:r>
        <w:rPr>
          <w:sz w:val="20"/>
        </w:rPr>
        <w:t xml:space="preserve">пребывания - для соотечественников, постоянно проживающих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прибывших на территорию Российской Федерации и признанных беженцами на территории Российской Федерации или получивших временное убежище на территории Российской Федерации.</w:t>
      </w:r>
    </w:p>
    <w:p>
      <w:pPr>
        <w:pStyle w:val="0"/>
        <w:jc w:val="both"/>
      </w:pPr>
      <w:r>
        <w:rPr>
          <w:sz w:val="20"/>
        </w:rPr>
        <w:t xml:space="preserve">(в ред. </w:t>
      </w:r>
      <w:hyperlink w:history="0" r:id="rId108"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jc w:val="both"/>
      </w:pPr>
      <w:r>
        <w:rPr>
          <w:sz w:val="20"/>
        </w:rPr>
        <w:t xml:space="preserve">(пп. 3.1.3 в ред. </w:t>
      </w:r>
      <w:hyperlink w:history="0" r:id="rId10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3.1.4. Подготовка регистрации потенциального участника Государственной программы осуществляется в соответствии с Административным </w:t>
      </w:r>
      <w:hyperlink w:history="0" r:id="rId110" w:tooltip="Приказ МВД России от 12.03.2020 N 134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6.08.2020 N 59468) {КонсультантПлюс}">
        <w:r>
          <w:rPr>
            <w:sz w:val="20"/>
            <w:color w:val="0000ff"/>
          </w:rPr>
          <w:t xml:space="preserve">регламентом</w:t>
        </w:r>
      </w:hyperlink>
      <w:r>
        <w:rPr>
          <w:sz w:val="20"/>
        </w:rPr>
        <w:t xml:space="preserve"> МВД России по предоставлению государственной услуги по оформлению, выдаче и замене свидетельства участника Государственной программы, утвержденным приказом МВД России от 12 марта 2020 года N 134 (далее - Административный регламент МВД России N 134).</w:t>
      </w:r>
    </w:p>
    <w:p>
      <w:pPr>
        <w:pStyle w:val="0"/>
        <w:spacing w:before="200" w:line-rule="auto"/>
        <w:ind w:firstLine="540"/>
        <w:jc w:val="both"/>
      </w:pPr>
      <w:r>
        <w:rPr>
          <w:sz w:val="20"/>
        </w:rPr>
        <w:t xml:space="preserve">3.1.5. Порядок приема и рассмотрения заявлений определен </w:t>
      </w:r>
      <w:hyperlink w:history="0" r:id="rId111" w:tooltip="Постановление Правительства РФ от 25.06.2007 N 403 (ред. от 29.03.2023) &quot;Об организации работы с соотечественниками, проживающими за рубежом и желающими добровольно переселиться в Российскую Федерацию&quot; {КонсультантПлюс}">
        <w:r>
          <w:rPr>
            <w:sz w:val="20"/>
            <w:color w:val="0000ff"/>
          </w:rPr>
          <w:t xml:space="preserve">постановлением</w:t>
        </w:r>
      </w:hyperlink>
      <w:r>
        <w:rPr>
          <w:sz w:val="20"/>
        </w:rP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и </w:t>
      </w:r>
      <w:hyperlink w:history="0" r:id="rId112"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w:t>
      </w:r>
    </w:p>
    <w:p>
      <w:pPr>
        <w:pStyle w:val="0"/>
        <w:spacing w:before="200" w:line-rule="auto"/>
        <w:ind w:firstLine="540"/>
        <w:jc w:val="both"/>
      </w:pPr>
      <w:r>
        <w:rPr>
          <w:sz w:val="20"/>
        </w:rPr>
        <w:t xml:space="preserve">3.1.6. Форма заявления, перечень сведений, которые должны содержаться в нем, и перечень документов, прилагаемых к нему, утверждает актами Правительство Российской Федерации.</w:t>
      </w:r>
    </w:p>
    <w:bookmarkStart w:id="1340" w:name="P1340"/>
    <w:bookmarkEnd w:id="1340"/>
    <w:p>
      <w:pPr>
        <w:pStyle w:val="0"/>
        <w:spacing w:before="200" w:line-rule="auto"/>
        <w:ind w:firstLine="540"/>
        <w:jc w:val="both"/>
      </w:pPr>
      <w:r>
        <w:rPr>
          <w:sz w:val="20"/>
        </w:rPr>
        <w:t xml:space="preserve">3.1.7. На территории Российской Федерации заявление вправе подать являющиеся иностранными гражданами соотечественники:</w:t>
      </w:r>
    </w:p>
    <w:p>
      <w:pPr>
        <w:pStyle w:val="0"/>
        <w:spacing w:before="200" w:line-rule="auto"/>
        <w:ind w:firstLine="540"/>
        <w:jc w:val="both"/>
      </w:pPr>
      <w:r>
        <w:rPr>
          <w:sz w:val="20"/>
        </w:rPr>
        <w:t xml:space="preserve">постоянно или временно проживающие на законном основании на территории Российской Федерации;</w:t>
      </w:r>
    </w:p>
    <w:bookmarkStart w:id="1342" w:name="P1342"/>
    <w:bookmarkEnd w:id="1342"/>
    <w:p>
      <w:pPr>
        <w:pStyle w:val="0"/>
        <w:spacing w:before="200" w:line-rule="auto"/>
        <w:ind w:firstLine="540"/>
        <w:jc w:val="both"/>
      </w:pPr>
      <w:r>
        <w:rPr>
          <w:sz w:val="20"/>
        </w:rPr>
        <w:t xml:space="preserve">прибывшие на территорию Российской Федерации в экстренном массовом порядке, характеризующемся их широкомасштабным перемещением в определенный период времени независимо от того, прибывают они стихийно или в порядке эвакуации, в поисках убежища и признанные беженцами на территории Российской Федерации или получившие временное убежище на территории Российской Федерации;</w:t>
      </w:r>
    </w:p>
    <w:p>
      <w:pPr>
        <w:pStyle w:val="0"/>
        <w:jc w:val="both"/>
      </w:pPr>
      <w:r>
        <w:rPr>
          <w:sz w:val="20"/>
        </w:rPr>
        <w:t xml:space="preserve">(в ред. </w:t>
      </w:r>
      <w:hyperlink w:history="0" r:id="rId113"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bookmarkStart w:id="1344" w:name="P1344"/>
    <w:bookmarkEnd w:id="1344"/>
    <w:p>
      <w:pPr>
        <w:pStyle w:val="0"/>
        <w:spacing w:before="200" w:line-rule="auto"/>
        <w:ind w:firstLine="540"/>
        <w:jc w:val="both"/>
      </w:pPr>
      <w:r>
        <w:rPr>
          <w:sz w:val="20"/>
        </w:rPr>
        <w:t xml:space="preserve">постоянно проживающие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прибывшие на территорию Российской Федерации и признанные беженцами на территории Российской Федерации или получившие временное убежище на территории Российской Федерации.</w:t>
      </w:r>
    </w:p>
    <w:p>
      <w:pPr>
        <w:pStyle w:val="0"/>
        <w:jc w:val="both"/>
      </w:pPr>
      <w:r>
        <w:rPr>
          <w:sz w:val="20"/>
        </w:rPr>
        <w:t xml:space="preserve">(пп. 3.1.7 в ред. </w:t>
      </w:r>
      <w:hyperlink w:history="0" r:id="rId114"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bookmarkStart w:id="1346" w:name="P1346"/>
    <w:bookmarkEnd w:id="1346"/>
    <w:p>
      <w:pPr>
        <w:pStyle w:val="0"/>
        <w:spacing w:before="200" w:line-rule="auto"/>
        <w:ind w:firstLine="540"/>
        <w:jc w:val="both"/>
      </w:pPr>
      <w:r>
        <w:rPr>
          <w:sz w:val="20"/>
        </w:rPr>
        <w:t xml:space="preserve">3.1.8. Стать участниками Государственной программы соотечественники могут при:</w:t>
      </w:r>
    </w:p>
    <w:p>
      <w:pPr>
        <w:pStyle w:val="0"/>
        <w:spacing w:before="200" w:line-rule="auto"/>
        <w:ind w:firstLine="540"/>
        <w:jc w:val="both"/>
      </w:pPr>
      <w:r>
        <w:rPr>
          <w:sz w:val="20"/>
        </w:rPr>
        <w:t xml:space="preserve">а) отсутствии неоднократного (2 и более раза) привлечения к административной ответственности согласно законодательству Российской Федерации в течение 3 лет, предшествующих дню подачи заявления;</w:t>
      </w:r>
    </w:p>
    <w:p>
      <w:pPr>
        <w:pStyle w:val="0"/>
        <w:spacing w:before="200" w:line-rule="auto"/>
        <w:ind w:firstLine="540"/>
        <w:jc w:val="both"/>
      </w:pPr>
      <w:r>
        <w:rPr>
          <w:sz w:val="20"/>
        </w:rPr>
        <w:t xml:space="preserve">б) отсутствии судимости за совершение уголовно наказуемых деяний на территории Российской Федерации или за ее пределами за тяжкие и особо тяжкие преступления;</w:t>
      </w:r>
    </w:p>
    <w:p>
      <w:pPr>
        <w:pStyle w:val="0"/>
        <w:spacing w:before="200" w:line-rule="auto"/>
        <w:ind w:firstLine="540"/>
        <w:jc w:val="both"/>
      </w:pPr>
      <w:r>
        <w:rPr>
          <w:sz w:val="20"/>
        </w:rPr>
        <w:t xml:space="preserve">в) отсутствии заболевания наркоманией, инфекционных заболеваний, которые представляют опасность для окружающих, отсутствии заболевания, вызываемого вирусом иммунодефицита человека, что подтверждается документами, выданными уполномоченными медицинскими организациями в автономном округе (соотечественники, получившие свидетельство участника Государственной программы в уполномоченном органе за рубежом и прибывшие в автономный округ, представляют указанные документы в Управление не позднее чем через 6 месяцев с момента прибытия).</w:t>
      </w:r>
    </w:p>
    <w:p>
      <w:pPr>
        <w:pStyle w:val="0"/>
        <w:spacing w:before="200" w:line-rule="auto"/>
        <w:ind w:firstLine="540"/>
        <w:jc w:val="both"/>
      </w:pPr>
      <w:r>
        <w:rPr>
          <w:sz w:val="20"/>
        </w:rPr>
        <w:t xml:space="preserve">В случае выявления несоответствия потенциального участника Государственной программы настоящим требованиям Управление не позднее 15 рабочих дней с момента поступления заявления уведомляет Уполномоченный орган Югры.</w:t>
      </w:r>
    </w:p>
    <w:bookmarkStart w:id="1351" w:name="P1351"/>
    <w:bookmarkEnd w:id="1351"/>
    <w:p>
      <w:pPr>
        <w:pStyle w:val="0"/>
        <w:spacing w:before="200" w:line-rule="auto"/>
        <w:ind w:firstLine="540"/>
        <w:jc w:val="both"/>
      </w:pPr>
      <w:r>
        <w:rPr>
          <w:sz w:val="20"/>
        </w:rPr>
        <w:t xml:space="preserve">3.2. Порядок согласования Уполномоченным органом Югры кандидатуры потенциального участника Государственной программы.</w:t>
      </w:r>
    </w:p>
    <w:p>
      <w:pPr>
        <w:pStyle w:val="0"/>
        <w:spacing w:before="200" w:line-rule="auto"/>
        <w:ind w:firstLine="540"/>
        <w:jc w:val="both"/>
      </w:pPr>
      <w:r>
        <w:rPr>
          <w:sz w:val="20"/>
        </w:rPr>
        <w:t xml:space="preserve">3.2.1. В соответствии с </w:t>
      </w:r>
      <w:hyperlink w:history="0" r:id="rId115" w:tooltip="Постановление Правительства РФ от 25.06.2007 N 403 (ред. от 29.03.2023) &quot;Об организации работы с соотечественниками, проживающими за рубежом и желающими добровольно переселиться в Российскую Федерацию&quot; {КонсультантПлюс}">
        <w:r>
          <w:rPr>
            <w:sz w:val="20"/>
            <w:color w:val="0000ff"/>
          </w:rPr>
          <w:t xml:space="preserve">постановлением</w:t>
        </w:r>
      </w:hyperlink>
      <w:r>
        <w:rPr>
          <w:sz w:val="20"/>
        </w:rPr>
        <w:t xml:space="preserve"> Правительства Российской Федерации от 25 июня 2007 года N 403 "Об организации работы с соотечественниками, проживающими за рубежом и желающими добровольно переселиться в Российскую Федерацию" уполномоченный орган за рубежом направляет в порядке, определенном МВД России, заявление потенциального участника Государственной программы в Управление для его рассмотрения и принятия решения о том, что предусмотренные Государственной программой основания для отказа ему в выдаче свидетельства отсутствуют.</w:t>
      </w:r>
    </w:p>
    <w:bookmarkStart w:id="1353" w:name="P1353"/>
    <w:bookmarkEnd w:id="1353"/>
    <w:p>
      <w:pPr>
        <w:pStyle w:val="0"/>
        <w:spacing w:before="200" w:line-rule="auto"/>
        <w:ind w:firstLine="540"/>
        <w:jc w:val="both"/>
      </w:pPr>
      <w:r>
        <w:rPr>
          <w:sz w:val="20"/>
        </w:rPr>
        <w:t xml:space="preserve">3.2.2. Порядок согласования кандидатуры потенциального участника Государственной программы:</w:t>
      </w:r>
    </w:p>
    <w:p>
      <w:pPr>
        <w:pStyle w:val="0"/>
        <w:spacing w:before="200" w:line-rule="auto"/>
        <w:ind w:firstLine="540"/>
        <w:jc w:val="both"/>
      </w:pPr>
      <w:r>
        <w:rPr>
          <w:sz w:val="20"/>
        </w:rPr>
        <w:t xml:space="preserve">3.2.2.1. При получении заявления из Управления Уполномоченный орган Югры направляет его в центры занятости населения с целью подбора рабочего места в муниципальных образованиях автономного округа для трудоустройства потенциального участника Государственной программы и трудоспособных членов его семьи (при необходимости) в рамках имеющегося банка вакансий.</w:t>
      </w:r>
    </w:p>
    <w:p>
      <w:pPr>
        <w:pStyle w:val="0"/>
        <w:spacing w:before="200" w:line-rule="auto"/>
        <w:ind w:firstLine="540"/>
        <w:jc w:val="both"/>
      </w:pPr>
      <w:r>
        <w:rPr>
          <w:sz w:val="20"/>
        </w:rPr>
        <w:t xml:space="preserve">3.2.2.2. Подбор рабочего места для потенциального участника Государственной программы и трудоспособных членов его семьи осуществляется с учетом имеющейся у него профессии (специальности).</w:t>
      </w:r>
    </w:p>
    <w:p>
      <w:pPr>
        <w:pStyle w:val="0"/>
        <w:spacing w:before="200" w:line-rule="auto"/>
        <w:ind w:firstLine="540"/>
        <w:jc w:val="both"/>
      </w:pPr>
      <w:r>
        <w:rPr>
          <w:sz w:val="20"/>
        </w:rPr>
        <w:t xml:space="preserve">3.2.2.3. Согласно заявленной потенциальным участником Государственной программы профессии (специальности) центр занятости населения определяет наличие вакансии, на которую может он претендовать, при условии нахождения ее в базе данных не менее месяца с момента заявления, согласовывает его кандидатуру с работодателем (работодателями - при условии наличия нескольких вакансий).</w:t>
      </w:r>
    </w:p>
    <w:p>
      <w:pPr>
        <w:pStyle w:val="0"/>
        <w:spacing w:before="200" w:line-rule="auto"/>
        <w:ind w:firstLine="540"/>
        <w:jc w:val="both"/>
      </w:pPr>
      <w:r>
        <w:rPr>
          <w:sz w:val="20"/>
        </w:rPr>
        <w:t xml:space="preserve">3.2.2.4. В случае если потенциальный участник Государственной программы указал в заявлении муниципальное образование, в которое он желает переселиться, то возможность его трудоустройства рассматривается в указанном муниципальном образовании. При отсутствии осуществляется подбор другого муниципального образования (при условии письменного согласия потенциального участника Государственной программы) с учетом имеющихся вакансий по заявленной потенциальным участником Государственной программы профессии (специальности).</w:t>
      </w:r>
    </w:p>
    <w:bookmarkStart w:id="1358" w:name="P1358"/>
    <w:bookmarkEnd w:id="1358"/>
    <w:p>
      <w:pPr>
        <w:pStyle w:val="0"/>
        <w:spacing w:before="200" w:line-rule="auto"/>
        <w:ind w:firstLine="540"/>
        <w:jc w:val="both"/>
      </w:pPr>
      <w:r>
        <w:rPr>
          <w:sz w:val="20"/>
        </w:rPr>
        <w:t xml:space="preserve">3.2.2.5. Потенциальный участник Государственной программы вправе самостоятельно выбрать интересующую его вакансию (при условии нахождения ее в банке вакансий не менее 1 месяца, для молодых специалистов - не менее 2 месяцев) по имеющейся у него профессии (специальности) на информационном портале "Работа в России" </w:t>
      </w:r>
      <w:r>
        <w:rPr>
          <w:sz w:val="20"/>
        </w:rPr>
        <w:t xml:space="preserve">www.trudvsem.ru</w:t>
      </w:r>
      <w:r>
        <w:rPr>
          <w:sz w:val="20"/>
        </w:rPr>
        <w:t xml:space="preserve">, интерактивном портале Департамента труда и занятости населения автономного округа </w:t>
      </w:r>
      <w:r>
        <w:rPr>
          <w:sz w:val="20"/>
        </w:rPr>
        <w:t xml:space="preserve">http://job.dznhmao.ru</w:t>
      </w:r>
      <w:r>
        <w:rPr>
          <w:sz w:val="20"/>
        </w:rPr>
        <w:t xml:space="preserve"> (раздел "Для граждан", подраздел "Поиск работы"), официальном сайте исполнительного органа автономного округа </w:t>
      </w:r>
      <w:r>
        <w:rPr>
          <w:sz w:val="20"/>
        </w:rPr>
        <w:t xml:space="preserve">http://www.deptrud.admhmao.ru</w:t>
      </w:r>
      <w:r>
        <w:rPr>
          <w:sz w:val="20"/>
        </w:rPr>
        <w:t xml:space="preserve"> (раздел "Для граждан", подраздел "Поиск работы") и указать ее в заявлении для рассмотрения Уполномоченным органом Югры возможности трудоустройства на эту вакансию.</w:t>
      </w:r>
    </w:p>
    <w:p>
      <w:pPr>
        <w:pStyle w:val="0"/>
        <w:jc w:val="both"/>
      </w:pPr>
      <w:r>
        <w:rPr>
          <w:sz w:val="20"/>
        </w:rPr>
        <w:t xml:space="preserve">(в ред. </w:t>
      </w:r>
      <w:hyperlink w:history="0" r:id="rId116"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В случае отсутствия возможности трудоустройства на выбранную вакансию подбор рабочего места для потенциального участника Государственной программы (при условии его согласия) осуществляется с учетом имеющихся вакансий по заявленной потенциальным участником Государственной программы профессии (специальности).</w:t>
      </w:r>
    </w:p>
    <w:p>
      <w:pPr>
        <w:pStyle w:val="0"/>
        <w:spacing w:before="200" w:line-rule="auto"/>
        <w:ind w:firstLine="540"/>
        <w:jc w:val="both"/>
      </w:pPr>
      <w:r>
        <w:rPr>
          <w:sz w:val="20"/>
        </w:rPr>
        <w:t xml:space="preserve">3.2.2.6. Подбор рабочего места для потенциального участника Государственной программы и согласование его кандидатуры с работодателем осуществляют центры занятости населения.</w:t>
      </w:r>
    </w:p>
    <w:p>
      <w:pPr>
        <w:pStyle w:val="0"/>
        <w:spacing w:before="200" w:line-rule="auto"/>
        <w:ind w:firstLine="540"/>
        <w:jc w:val="both"/>
      </w:pPr>
      <w:r>
        <w:rPr>
          <w:sz w:val="20"/>
        </w:rPr>
        <w:t xml:space="preserve">3.2.2.7. Информацию о результатах подбора рабочего места и согласования кандидатуры с работодателем центр занятости населения представляет в срок, установленный Уполномоченным органом Югры, с приложением к ней письма работодателя о трудоустройстве потенциального участника Государственной программы на момент его личного обращения по прибытии (при условии наличия предложенной потенциальному участнику Государственной программы вакансии на момент его прибытия).</w:t>
      </w:r>
    </w:p>
    <w:p>
      <w:pPr>
        <w:pStyle w:val="0"/>
        <w:spacing w:before="200" w:line-rule="auto"/>
        <w:ind w:firstLine="540"/>
        <w:jc w:val="both"/>
      </w:pPr>
      <w:r>
        <w:rPr>
          <w:sz w:val="20"/>
        </w:rPr>
        <w:t xml:space="preserve">3.2.2.8. На основе требований, установленных </w:t>
      </w:r>
      <w:hyperlink w:history="0" w:anchor="P1364" w:tooltip="3.2.2.9. Решение о согласовании кандидатуры потенциального участника Государственной программы для участия в Подпрограмме принимается при его соответствии условиям, предусмотренным абзацами со второго по восьмой настоящего подпункта в совокупности:">
        <w:r>
          <w:rPr>
            <w:sz w:val="20"/>
            <w:color w:val="0000ff"/>
          </w:rPr>
          <w:t xml:space="preserve">подпунктом 3.2.2.9 пункта 3.2</w:t>
        </w:r>
      </w:hyperlink>
      <w:r>
        <w:rPr>
          <w:sz w:val="20"/>
        </w:rPr>
        <w:t xml:space="preserve"> Порядка, с учетом информации центра занятости населения Уполномоченный орган Югры принимает решение о согласовании кандидатуры потенциального участника Государственной программы для участия в Подпрограмме.</w:t>
      </w:r>
    </w:p>
    <w:bookmarkStart w:id="1364" w:name="P1364"/>
    <w:bookmarkEnd w:id="1364"/>
    <w:p>
      <w:pPr>
        <w:pStyle w:val="0"/>
        <w:spacing w:before="200" w:line-rule="auto"/>
        <w:ind w:firstLine="540"/>
        <w:jc w:val="both"/>
      </w:pPr>
      <w:r>
        <w:rPr>
          <w:sz w:val="20"/>
        </w:rPr>
        <w:t xml:space="preserve">3.2.2.9. Решение о согласовании кандидатуры потенциального участника Государственной программы для участия в Подпрограмме принимается при его соответствии условиям, предусмотренным </w:t>
      </w:r>
      <w:hyperlink w:history="0" w:anchor="P1366" w:tooltip="а) достижение возраста 18 лет;">
        <w:r>
          <w:rPr>
            <w:sz w:val="20"/>
            <w:color w:val="0000ff"/>
          </w:rPr>
          <w:t xml:space="preserve">абзацами со второго</w:t>
        </w:r>
      </w:hyperlink>
      <w:r>
        <w:rPr>
          <w:sz w:val="20"/>
        </w:rPr>
        <w:t xml:space="preserve"> по </w:t>
      </w:r>
      <w:hyperlink w:history="0" w:anchor="P1372" w:tooltip="е) согласование кандидатур, находящихся в предпенсионном и пенсионном возрасте, возможно при заинтересованности работодателя во владении потенциальным участником Государственной программы редкими специальностями или наличием высоких профессиональных навыков.">
        <w:r>
          <w:rPr>
            <w:sz w:val="20"/>
            <w:color w:val="0000ff"/>
          </w:rPr>
          <w:t xml:space="preserve">восьмой</w:t>
        </w:r>
      </w:hyperlink>
      <w:r>
        <w:rPr>
          <w:sz w:val="20"/>
        </w:rPr>
        <w:t xml:space="preserve"> настоящего подпункта в совокупности:</w:t>
      </w:r>
    </w:p>
    <w:p>
      <w:pPr>
        <w:pStyle w:val="0"/>
        <w:jc w:val="both"/>
      </w:pPr>
      <w:r>
        <w:rPr>
          <w:sz w:val="20"/>
        </w:rPr>
        <w:t xml:space="preserve">(в ред. </w:t>
      </w:r>
      <w:hyperlink w:history="0" r:id="rId117"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bookmarkStart w:id="1366" w:name="P1366"/>
    <w:bookmarkEnd w:id="1366"/>
    <w:p>
      <w:pPr>
        <w:pStyle w:val="0"/>
        <w:spacing w:before="200" w:line-rule="auto"/>
        <w:ind w:firstLine="540"/>
        <w:jc w:val="both"/>
      </w:pPr>
      <w:r>
        <w:rPr>
          <w:sz w:val="20"/>
        </w:rPr>
        <w:t xml:space="preserve">а) достижение возраста 18 лет;</w:t>
      </w:r>
    </w:p>
    <w:p>
      <w:pPr>
        <w:pStyle w:val="0"/>
        <w:spacing w:before="200" w:line-rule="auto"/>
        <w:ind w:firstLine="540"/>
        <w:jc w:val="both"/>
      </w:pPr>
      <w:r>
        <w:rPr>
          <w:sz w:val="20"/>
        </w:rPr>
        <w:t xml:space="preserve">б) наличие высшего образования, среднего профессионального образования;</w:t>
      </w:r>
    </w:p>
    <w:p>
      <w:pPr>
        <w:pStyle w:val="0"/>
        <w:spacing w:before="200" w:line-rule="auto"/>
        <w:ind w:firstLine="540"/>
        <w:jc w:val="both"/>
      </w:pPr>
      <w:r>
        <w:rPr>
          <w:sz w:val="20"/>
        </w:rPr>
        <w:t xml:space="preserve">для соотечественников,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 - наличие высшего образования, среднего профессионального образования, образования, полученного по программам профессиональной подготовки по профессиям рабочих, должностям служащих, программам переподготовки рабочих, служащих;</w:t>
      </w:r>
    </w:p>
    <w:bookmarkStart w:id="1369" w:name="P1369"/>
    <w:bookmarkEnd w:id="1369"/>
    <w:p>
      <w:pPr>
        <w:pStyle w:val="0"/>
        <w:spacing w:before="200" w:line-rule="auto"/>
        <w:ind w:firstLine="540"/>
        <w:jc w:val="both"/>
      </w:pPr>
      <w:r>
        <w:rPr>
          <w:sz w:val="20"/>
        </w:rPr>
        <w:t xml:space="preserve">в) возможность трудоустройства в автономном округе с учетом заявленной им профессии (специальности);</w:t>
      </w:r>
    </w:p>
    <w:bookmarkStart w:id="1370" w:name="P1370"/>
    <w:bookmarkEnd w:id="1370"/>
    <w:p>
      <w:pPr>
        <w:pStyle w:val="0"/>
        <w:spacing w:before="200" w:line-rule="auto"/>
        <w:ind w:firstLine="540"/>
        <w:jc w:val="both"/>
      </w:pPr>
      <w:r>
        <w:rPr>
          <w:sz w:val="20"/>
        </w:rPr>
        <w:t xml:space="preserve">г) заявленная профессия (специальность) соответствует имеющейся у потенциального участника Государственной программы квалификации;</w:t>
      </w:r>
    </w:p>
    <w:p>
      <w:pPr>
        <w:pStyle w:val="0"/>
        <w:spacing w:before="200" w:line-rule="auto"/>
        <w:ind w:firstLine="540"/>
        <w:jc w:val="both"/>
      </w:pPr>
      <w:r>
        <w:rPr>
          <w:sz w:val="20"/>
        </w:rPr>
        <w:t xml:space="preserve">д) обучение в образовательных организациях, осуществляющих деятельность в автономном округе, с целью получения высшего или среднего профессионального образования по очной форме обучения не менее 2 учебных лет;</w:t>
      </w:r>
    </w:p>
    <w:bookmarkStart w:id="1372" w:name="P1372"/>
    <w:bookmarkEnd w:id="1372"/>
    <w:p>
      <w:pPr>
        <w:pStyle w:val="0"/>
        <w:spacing w:before="200" w:line-rule="auto"/>
        <w:ind w:firstLine="540"/>
        <w:jc w:val="both"/>
      </w:pPr>
      <w:r>
        <w:rPr>
          <w:sz w:val="20"/>
        </w:rPr>
        <w:t xml:space="preserve">е) согласование кандидатур, находящихся в предпенсионном и пенсионном возрасте, возможно при заинтересованности работодателя во владении потенциальным участником Государственной программы редкими специальностями или наличием высоких профессиональных навыков.</w:t>
      </w:r>
    </w:p>
    <w:p>
      <w:pPr>
        <w:pStyle w:val="0"/>
        <w:spacing w:before="200" w:line-rule="auto"/>
        <w:ind w:firstLine="540"/>
        <w:jc w:val="both"/>
      </w:pPr>
      <w:r>
        <w:rPr>
          <w:sz w:val="20"/>
        </w:rPr>
        <w:t xml:space="preserve">3.2.2.10. Кандидатуры потенциального участника Государственной программы из числа молодых специалистов с высшим образованием (до истечения 1 года с момента окончания образовательной организации) согласовываются по требованиям, установленным </w:t>
      </w:r>
      <w:hyperlink w:history="0" w:anchor="P1364" w:tooltip="3.2.2.9. Решение о согласовании кандидатуры потенциального участника Государственной программы для участия в Подпрограмме принимается при его соответствии условиям, предусмотренным абзацами со второго по восьмой настоящего подпункта в совокупности:">
        <w:r>
          <w:rPr>
            <w:sz w:val="20"/>
            <w:color w:val="0000ff"/>
          </w:rPr>
          <w:t xml:space="preserve">подпунктом 3.2.2.9 пункта 3.2</w:t>
        </w:r>
      </w:hyperlink>
      <w:r>
        <w:rPr>
          <w:sz w:val="20"/>
        </w:rPr>
        <w:t xml:space="preserve"> Порядка, без предъявления требования к опыту работы, а также при условии нахождения вакансии в базе данных, на которую они претендуют, не менее 2 месяцев с момента подачи заявления.</w:t>
      </w:r>
    </w:p>
    <w:p>
      <w:pPr>
        <w:pStyle w:val="0"/>
        <w:spacing w:before="200" w:line-rule="auto"/>
        <w:ind w:firstLine="540"/>
        <w:jc w:val="both"/>
      </w:pPr>
      <w:r>
        <w:rPr>
          <w:sz w:val="20"/>
        </w:rPr>
        <w:t xml:space="preserve">3.2.2.11. Если существует возможность трудоустройства потенциального участника Государственной программы по заявленной им профессии (специальности) сразу в нескольких муниципальных образованиях автономного округа, то Уполномоченный орган Югры, при условии соответствия потенциального участника Государственной программы установленным </w:t>
      </w:r>
      <w:hyperlink w:history="0" w:anchor="P1364" w:tooltip="3.2.2.9. Решение о согласовании кандидатуры потенциального участника Государственной программы для участия в Подпрограмме принимается при его соответствии условиям, предусмотренным абзацами со второго по восьмой настоящего подпункта в совокупности:">
        <w:r>
          <w:rPr>
            <w:sz w:val="20"/>
            <w:color w:val="0000ff"/>
          </w:rPr>
          <w:t xml:space="preserve">подпунктом 3.2.2.9 пункта 3.2</w:t>
        </w:r>
      </w:hyperlink>
      <w:r>
        <w:rPr>
          <w:sz w:val="20"/>
        </w:rPr>
        <w:t xml:space="preserve"> Порядка условиям, согласовывает его кандидатуру для участия в Государственной программе и предоставляет ему право самостоятельного выбора муниципального образования для дальнейшего переезда.</w:t>
      </w:r>
    </w:p>
    <w:bookmarkStart w:id="1375" w:name="P1375"/>
    <w:bookmarkEnd w:id="1375"/>
    <w:p>
      <w:pPr>
        <w:pStyle w:val="0"/>
        <w:spacing w:before="200" w:line-rule="auto"/>
        <w:ind w:firstLine="540"/>
        <w:jc w:val="both"/>
      </w:pPr>
      <w:r>
        <w:rPr>
          <w:sz w:val="20"/>
        </w:rPr>
        <w:t xml:space="preserve">3.2.2.12. В случае заполнения вакансий, предложенных участнику Государственной программы на этапе согласования его кандидатуры для участия в Государственной программе, по его прибытию в муниципальное образование центр занятости населения подбирает ему новое рабочее место либо предлагает ему самостоятельное трудоустройство путем прямого обращения к работодателю.</w:t>
      </w:r>
    </w:p>
    <w:bookmarkStart w:id="1376" w:name="P1376"/>
    <w:bookmarkEnd w:id="1376"/>
    <w:p>
      <w:pPr>
        <w:pStyle w:val="0"/>
        <w:spacing w:before="200" w:line-rule="auto"/>
        <w:ind w:firstLine="540"/>
        <w:jc w:val="both"/>
      </w:pPr>
      <w:r>
        <w:rPr>
          <w:sz w:val="20"/>
        </w:rPr>
        <w:t xml:space="preserve">3.2.3. Согласование потенциального участника Государственной программы, указанного в </w:t>
      </w:r>
      <w:hyperlink w:history="0" w:anchor="P1340" w:tooltip="3.1.7. На территории Российской Федерации заявление вправе подать являющиеся иностранными гражданами соотечественники:">
        <w:r>
          <w:rPr>
            <w:sz w:val="20"/>
            <w:color w:val="0000ff"/>
          </w:rPr>
          <w:t xml:space="preserve">подпункте 3.1.7 пункта 3.1</w:t>
        </w:r>
      </w:hyperlink>
      <w:r>
        <w:rPr>
          <w:sz w:val="20"/>
        </w:rPr>
        <w:t xml:space="preserve"> Порядка:</w:t>
      </w:r>
    </w:p>
    <w:p>
      <w:pPr>
        <w:pStyle w:val="0"/>
        <w:jc w:val="both"/>
      </w:pPr>
      <w:r>
        <w:rPr>
          <w:sz w:val="20"/>
        </w:rPr>
        <w:t xml:space="preserve">(пп. 3.2.3 в ред. </w:t>
      </w:r>
      <w:hyperlink w:history="0" r:id="rId118"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bookmarkStart w:id="1378" w:name="P1378"/>
    <w:bookmarkEnd w:id="1378"/>
    <w:p>
      <w:pPr>
        <w:pStyle w:val="0"/>
        <w:spacing w:before="200" w:line-rule="auto"/>
        <w:ind w:firstLine="540"/>
        <w:jc w:val="both"/>
      </w:pPr>
      <w:r>
        <w:rPr>
          <w:sz w:val="20"/>
        </w:rPr>
        <w:t xml:space="preserve">3.2.3.1. В случае если потенциальный участник Государственной программы уже постоянно или временно проживает на законных основаниях в автономном округе, имеет постоянное место работы и желает его сохранить, то для него не осуществляется подбор рабочего места, он должен представить в центр занятости населения документы об образовании и (или) о квалификации, о стаже трудовой деятельности.</w:t>
      </w:r>
    </w:p>
    <w:p>
      <w:pPr>
        <w:pStyle w:val="0"/>
        <w:spacing w:before="200" w:line-rule="auto"/>
        <w:ind w:firstLine="540"/>
        <w:jc w:val="both"/>
      </w:pPr>
      <w:r>
        <w:rPr>
          <w:sz w:val="20"/>
        </w:rPr>
        <w:t xml:space="preserve">Для соотечественника, указанного в </w:t>
      </w:r>
      <w:hyperlink w:history="0" w:anchor="P1342" w:tooltip="прибывшие на территорию Российской Федерации в экстренном массовом порядке, характеризующемся их широкомасштабным перемещением в определенный период времени независимо от того, прибывают они стихийно или в порядке эвакуации, в поисках убежища и признанные беженцами на территории Российской Федерации или получившие временное убежище на территории Российской Федерации;">
        <w:r>
          <w:rPr>
            <w:sz w:val="20"/>
            <w:color w:val="0000ff"/>
          </w:rPr>
          <w:t xml:space="preserve">абзацах с третьего</w:t>
        </w:r>
      </w:hyperlink>
      <w:r>
        <w:rPr>
          <w:sz w:val="20"/>
        </w:rPr>
        <w:t xml:space="preserve"> по </w:t>
      </w:r>
      <w:hyperlink w:history="0" w:anchor="P1344" w:tooltip="постоянно проживающие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е на территорию Российской Федерации и признанные беженцами на территории Российской Федерации или получившие временное убежище на территории Российской Федерации.">
        <w:r>
          <w:rPr>
            <w:sz w:val="20"/>
            <w:color w:val="0000ff"/>
          </w:rPr>
          <w:t xml:space="preserve">четвертый подпункта 3.1.7 пункта 3.1</w:t>
        </w:r>
      </w:hyperlink>
      <w:r>
        <w:rPr>
          <w:sz w:val="20"/>
        </w:rPr>
        <w:t xml:space="preserve"> Порядка, имеющего место работы и желающего его сохранить, не осуществляется подбор рабочего места, он должен представить в центр занятости населения документы об образовании и (или) о квалификации, о трудовой деятельности.</w:t>
      </w:r>
    </w:p>
    <w:p>
      <w:pPr>
        <w:pStyle w:val="0"/>
        <w:jc w:val="both"/>
      </w:pPr>
      <w:r>
        <w:rPr>
          <w:sz w:val="20"/>
        </w:rPr>
        <w:t xml:space="preserve">(в ред. </w:t>
      </w:r>
      <w:hyperlink w:history="0" r:id="rId11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3.2.3.2. Центр занятости населения уведомляет Уполномоченный орган Югры о наличии рабочего места у потенциального участника Государственной программы, указанного в </w:t>
      </w:r>
      <w:hyperlink w:history="0" w:anchor="P1378" w:tooltip="3.2.3.1. В случае если потенциальный участник Государственной программы уже постоянно или временно проживает на законных основаниях в автономном округе, имеет постоянное место работы и желает его сохранить, то для него не осуществляется подбор рабочего места, он должен представить в центр занятости населения документы об образовании и (или) о квалификации, о стаже трудовой деятельности.">
        <w:r>
          <w:rPr>
            <w:sz w:val="20"/>
            <w:color w:val="0000ff"/>
          </w:rPr>
          <w:t xml:space="preserve">подпункте 3.2.3.1</w:t>
        </w:r>
      </w:hyperlink>
      <w:r>
        <w:rPr>
          <w:sz w:val="20"/>
        </w:rPr>
        <w:t xml:space="preserve"> настоящего пункта.</w:t>
      </w:r>
    </w:p>
    <w:p>
      <w:pPr>
        <w:pStyle w:val="0"/>
        <w:jc w:val="both"/>
      </w:pPr>
      <w:r>
        <w:rPr>
          <w:sz w:val="20"/>
        </w:rPr>
        <w:t xml:space="preserve">(в ред. </w:t>
      </w:r>
      <w:hyperlink w:history="0" r:id="rId120"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bookmarkStart w:id="1383" w:name="P1383"/>
    <w:bookmarkEnd w:id="1383"/>
    <w:p>
      <w:pPr>
        <w:pStyle w:val="0"/>
        <w:spacing w:before="200" w:line-rule="auto"/>
        <w:ind w:firstLine="540"/>
        <w:jc w:val="both"/>
      </w:pPr>
      <w:r>
        <w:rPr>
          <w:sz w:val="20"/>
        </w:rPr>
        <w:t xml:space="preserve">3.2.3.3. В случае если потенциальный участник Государственной программы обучается в образовательных организациях, осуществляющих деятельность в автономном округе, с целью получения высшего образования, среднего профессионального образования по очной форме обучения не менее 2 лет или завершил обучение в течение 6 последних месяцев с момента получения документа об образовании и о квалификации, то для него не осуществляется подбор рабочего места. Он должен представить в центр занятости населения документы, подтверждающие его обучение (справку об обучении или о периоде обучения или документ об образовании и о квалификации).</w:t>
      </w:r>
    </w:p>
    <w:p>
      <w:pPr>
        <w:pStyle w:val="0"/>
        <w:spacing w:before="200" w:line-rule="auto"/>
        <w:ind w:firstLine="540"/>
        <w:jc w:val="both"/>
      </w:pPr>
      <w:r>
        <w:rPr>
          <w:sz w:val="20"/>
        </w:rPr>
        <w:t xml:space="preserve">3.2.3.4. Согласование кандидатуры потенциального участника Государственной программы, проживающего на территории автономного округа, осуществляется в соответствии с требованиями, установленными </w:t>
      </w:r>
      <w:hyperlink w:history="0" w:anchor="P1364" w:tooltip="3.2.2.9. Решение о согласовании кандидатуры потенциального участника Государственной программы для участия в Подпрограмме принимается при его соответствии условиям, предусмотренным абзацами со второго по восьмой настоящего подпункта в совокупности:">
        <w:r>
          <w:rPr>
            <w:sz w:val="20"/>
            <w:color w:val="0000ff"/>
          </w:rPr>
          <w:t xml:space="preserve">подпунктом 3.2.2.9 пункта 3.2</w:t>
        </w:r>
      </w:hyperlink>
      <w:r>
        <w:rPr>
          <w:sz w:val="20"/>
        </w:rPr>
        <w:t xml:space="preserve"> Порядка.</w:t>
      </w:r>
    </w:p>
    <w:p>
      <w:pPr>
        <w:pStyle w:val="0"/>
        <w:spacing w:before="200" w:line-rule="auto"/>
        <w:ind w:firstLine="540"/>
        <w:jc w:val="both"/>
      </w:pPr>
      <w:r>
        <w:rPr>
          <w:sz w:val="20"/>
        </w:rPr>
        <w:t xml:space="preserve">3.2.4. Решение Уполномоченного органа Югры об отказе потенциальному участнику Государственной программы в согласовании его кандидатуры для участия в Подпрограмме должно быть мотивированным.</w:t>
      </w:r>
    </w:p>
    <w:p>
      <w:pPr>
        <w:pStyle w:val="0"/>
        <w:spacing w:before="200" w:line-rule="auto"/>
        <w:ind w:firstLine="540"/>
        <w:jc w:val="both"/>
      </w:pPr>
      <w:r>
        <w:rPr>
          <w:sz w:val="20"/>
        </w:rPr>
        <w:t xml:space="preserve">3.2.5. Основаниями для принятия решения Уполномоченным органом Югры об отказе в согласовании участия соотечественника в Подпрограмме являются:</w:t>
      </w:r>
    </w:p>
    <w:p>
      <w:pPr>
        <w:pStyle w:val="0"/>
        <w:spacing w:before="200" w:line-rule="auto"/>
        <w:ind w:firstLine="540"/>
        <w:jc w:val="both"/>
      </w:pPr>
      <w:r>
        <w:rPr>
          <w:sz w:val="20"/>
        </w:rPr>
        <w:t xml:space="preserve">1) несоответствие соотечественника требованиям, установленным </w:t>
      </w:r>
      <w:hyperlink w:history="0" w:anchor="P1364" w:tooltip="3.2.2.9. Решение о согласовании кандидатуры потенциального участника Государственной программы для участия в Подпрограмме принимается при его соответствии условиям, предусмотренным абзацами со второго по восьмой настоящего подпункта в совокупности:">
        <w:r>
          <w:rPr>
            <w:sz w:val="20"/>
            <w:color w:val="0000ff"/>
          </w:rPr>
          <w:t xml:space="preserve">подпунктом 3.2.2.9 пункта 3.2</w:t>
        </w:r>
      </w:hyperlink>
      <w:r>
        <w:rPr>
          <w:sz w:val="20"/>
        </w:rPr>
        <w:t xml:space="preserve"> или </w:t>
      </w:r>
      <w:hyperlink w:history="0" w:anchor="P1346" w:tooltip="3.1.8. Стать участниками Государственной программы соотечественники могут при:">
        <w:r>
          <w:rPr>
            <w:sz w:val="20"/>
            <w:color w:val="0000ff"/>
          </w:rPr>
          <w:t xml:space="preserve">подпункта 3.1.8 пункта 3.1</w:t>
        </w:r>
      </w:hyperlink>
      <w:r>
        <w:rPr>
          <w:sz w:val="20"/>
        </w:rPr>
        <w:t xml:space="preserve"> Порядка;</w:t>
      </w:r>
    </w:p>
    <w:p>
      <w:pPr>
        <w:pStyle w:val="0"/>
        <w:spacing w:before="200" w:line-rule="auto"/>
        <w:ind w:firstLine="540"/>
        <w:jc w:val="both"/>
      </w:pPr>
      <w:r>
        <w:rPr>
          <w:sz w:val="20"/>
        </w:rPr>
        <w:t xml:space="preserve">2) непредставление соотечественником документов, указанных в </w:t>
      </w:r>
      <w:hyperlink w:history="0" w:anchor="P1378" w:tooltip="3.2.3.1. В случае если потенциальный участник Государственной программы уже постоянно или временно проживает на законных основаниях в автономном округе, имеет постоянное место работы и желает его сохранить, то для него не осуществляется подбор рабочего места, он должен представить в центр занятости населения документы об образовании и (или) о квалификации, о стаже трудовой деятельности.">
        <w:r>
          <w:rPr>
            <w:sz w:val="20"/>
            <w:color w:val="0000ff"/>
          </w:rPr>
          <w:t xml:space="preserve">подпунктах 3.2.3.1</w:t>
        </w:r>
      </w:hyperlink>
      <w:r>
        <w:rPr>
          <w:sz w:val="20"/>
        </w:rPr>
        <w:t xml:space="preserve">, </w:t>
      </w:r>
      <w:hyperlink w:history="0" w:anchor="P1383" w:tooltip="3.2.3.3. В случае если потенциальный участник Государственной программы обучается в образовательных организациях, осуществляющих деятельность в автономном округе, с целью получения высшего образования, среднего профессионального образования по очной форме обучения не менее 2 лет или завершил обучение в течение 6 последних месяцев с момента получения документа об образовании и о квалификации, то для него не осуществляется подбор рабочего места. Он должен представить в центр занятости населения документы, ...">
        <w:r>
          <w:rPr>
            <w:sz w:val="20"/>
            <w:color w:val="0000ff"/>
          </w:rPr>
          <w:t xml:space="preserve">3.2.3.3 пункта 3.2</w:t>
        </w:r>
      </w:hyperlink>
      <w:r>
        <w:rPr>
          <w:sz w:val="20"/>
        </w:rPr>
        <w:t xml:space="preserve"> Порядка.</w:t>
      </w:r>
    </w:p>
    <w:p>
      <w:pPr>
        <w:pStyle w:val="0"/>
        <w:spacing w:before="200" w:line-rule="auto"/>
        <w:ind w:firstLine="540"/>
        <w:jc w:val="both"/>
      </w:pPr>
      <w:r>
        <w:rPr>
          <w:sz w:val="20"/>
        </w:rPr>
        <w:t xml:space="preserve">В случае предоставления потенциальным участником Государственной программы, выбравшим вакансию самостоятельно в соответствии с </w:t>
      </w:r>
      <w:hyperlink w:history="0" w:anchor="P1358" w:tooltip="3.2.2.5. Потенциальный участник Государственной программы вправе самостоятельно выбрать интересующую его вакансию (при условии нахождения ее в банке вакансий не менее 1 месяца, для молодых специалистов - не менее 2 месяцев) по имеющейся у него профессии (специальности) на информационном портале &quot;Работа в России&quot; www.trudvsem.ru, интерактивном портале Департамента труда и занятости населения автономного округа http://job.dznhmao.ru (раздел &quot;Для граждан&quot;, подраздел &quot;Поиск работы&quot;), официальном сайте исполн...">
        <w:r>
          <w:rPr>
            <w:sz w:val="20"/>
            <w:color w:val="0000ff"/>
          </w:rPr>
          <w:t xml:space="preserve">подпунктом 3.2.2.5 пункта 3.2</w:t>
        </w:r>
      </w:hyperlink>
      <w:r>
        <w:rPr>
          <w:sz w:val="20"/>
        </w:rPr>
        <w:t xml:space="preserve"> Порядка, гарантийного письма от работодателя о готовности трудоустроить потенциального участника Государственной программы по заявленной вакансии сразу после прибытия в муниципальное образование автономного округа, то согласование участия в Подпрограмму осуществляется без учета требований, определенных в </w:t>
      </w:r>
      <w:hyperlink w:history="0" w:anchor="P1369" w:tooltip="в) возможность трудоустройства в автономном округе с учетом заявленной им профессии (специальности);">
        <w:r>
          <w:rPr>
            <w:sz w:val="20"/>
            <w:color w:val="0000ff"/>
          </w:rPr>
          <w:t xml:space="preserve">абзацах с пятого</w:t>
        </w:r>
      </w:hyperlink>
      <w:r>
        <w:rPr>
          <w:sz w:val="20"/>
        </w:rPr>
        <w:t xml:space="preserve"> по </w:t>
      </w:r>
      <w:hyperlink w:history="0" w:anchor="P1370" w:tooltip="г) заявленная профессия (специальность) соответствует имеющейся у потенциального участника Государственной программы квалификации;">
        <w:r>
          <w:rPr>
            <w:sz w:val="20"/>
            <w:color w:val="0000ff"/>
          </w:rPr>
          <w:t xml:space="preserve">шестой подпункта 3.2.2.9 пункта 3.2</w:t>
        </w:r>
      </w:hyperlink>
      <w:r>
        <w:rPr>
          <w:sz w:val="20"/>
        </w:rPr>
        <w:t xml:space="preserve"> Порядка.</w:t>
      </w:r>
    </w:p>
    <w:p>
      <w:pPr>
        <w:pStyle w:val="0"/>
        <w:jc w:val="both"/>
      </w:pPr>
      <w:r>
        <w:rPr>
          <w:sz w:val="20"/>
        </w:rPr>
        <w:t xml:space="preserve">(в ред. </w:t>
      </w:r>
      <w:hyperlink w:history="0" r:id="rId121"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3.2.6. Уполномоченный орган Югры решение о согласовании (об отказе в согласовании) кандидатуры потенциального участника Государственной программы для участия в Подпрограмме направляет в Управление в срок, не превышающий 15 рабочих дней после поступления заявления из Управления.</w:t>
      </w:r>
    </w:p>
    <w:p>
      <w:pPr>
        <w:pStyle w:val="0"/>
        <w:jc w:val="both"/>
      </w:pPr>
      <w:r>
        <w:rPr>
          <w:sz w:val="20"/>
        </w:rPr>
        <w:t xml:space="preserve">(в ред. </w:t>
      </w:r>
      <w:hyperlink w:history="0" r:id="rId12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Согласование кандидатуры соотечественника из числа иностранных граждан, указанных в </w:t>
      </w:r>
      <w:hyperlink w:history="0" w:anchor="P1340" w:tooltip="3.1.7. На территории Российской Федерации заявление вправе подать являющиеся иностранными гражданами соотечественники:">
        <w:r>
          <w:rPr>
            <w:sz w:val="20"/>
            <w:color w:val="0000ff"/>
          </w:rPr>
          <w:t xml:space="preserve">подпункте 3.1.7 пункта 3.1</w:t>
        </w:r>
      </w:hyperlink>
      <w:r>
        <w:rPr>
          <w:sz w:val="20"/>
        </w:rPr>
        <w:t xml:space="preserve"> Порядка, осуществляется в соответствии с </w:t>
      </w:r>
      <w:hyperlink w:history="0" w:anchor="P1376" w:tooltip="3.2.3. Согласование потенциального участника Государственной программы, указанного в подпункте 3.1.7 пункта 3.1 Порядка:">
        <w:r>
          <w:rPr>
            <w:sz w:val="20"/>
            <w:color w:val="0000ff"/>
          </w:rPr>
          <w:t xml:space="preserve">подпунктом 3.2.3</w:t>
        </w:r>
      </w:hyperlink>
      <w:r>
        <w:rPr>
          <w:sz w:val="20"/>
        </w:rPr>
        <w:t xml:space="preserve"> настоящего пункта.</w:t>
      </w:r>
    </w:p>
    <w:p>
      <w:pPr>
        <w:pStyle w:val="0"/>
        <w:jc w:val="both"/>
      </w:pPr>
      <w:r>
        <w:rPr>
          <w:sz w:val="20"/>
        </w:rPr>
        <w:t xml:space="preserve">(в ред. </w:t>
      </w:r>
      <w:hyperlink w:history="0" r:id="rId123"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3.2.7. Уполномоченный орган за рубежом после совершения необходимых действий, установленных Административным </w:t>
      </w:r>
      <w:hyperlink w:history="0" r:id="rId124" w:tooltip="Приказ МВД России от 12.03.2020 N 134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6.08.2020 N 59468) {КонсультантПлюс}">
        <w:r>
          <w:rPr>
            <w:sz w:val="20"/>
            <w:color w:val="0000ff"/>
          </w:rPr>
          <w:t xml:space="preserve">регламентом</w:t>
        </w:r>
      </w:hyperlink>
      <w:r>
        <w:rPr>
          <w:sz w:val="20"/>
        </w:rPr>
        <w:t xml:space="preserve"> МВД России N 134, и при получении от Управления решения о согласовании кандидатуры потенциального участника Государственной программы для участия в ней уведомляет об этом последнего и выдает ему свидетельство участника Государственной программы.</w:t>
      </w:r>
    </w:p>
    <w:p>
      <w:pPr>
        <w:pStyle w:val="0"/>
        <w:spacing w:before="200" w:line-rule="auto"/>
        <w:ind w:firstLine="540"/>
        <w:jc w:val="both"/>
      </w:pPr>
      <w:r>
        <w:rPr>
          <w:sz w:val="20"/>
        </w:rPr>
        <w:t xml:space="preserve">3.2.8. Управление после совершения необходимых действий в соответствии с Административным </w:t>
      </w:r>
      <w:hyperlink w:history="0" r:id="rId125" w:tooltip="Приказ МВД России от 12.03.2020 N 134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6.08.2020 N 59468) {КонсультантПлюс}">
        <w:r>
          <w:rPr>
            <w:sz w:val="20"/>
            <w:color w:val="0000ff"/>
          </w:rPr>
          <w:t xml:space="preserve">регламентом</w:t>
        </w:r>
      </w:hyperlink>
      <w:r>
        <w:rPr>
          <w:sz w:val="20"/>
        </w:rPr>
        <w:t xml:space="preserve"> МВД России N 134 выдает потенциальному участнику Государственной программы, проживающему в России, свидетельство участника Государственной программы.</w:t>
      </w:r>
    </w:p>
    <w:p>
      <w:pPr>
        <w:pStyle w:val="0"/>
        <w:spacing w:before="200" w:line-rule="auto"/>
        <w:ind w:firstLine="540"/>
        <w:jc w:val="both"/>
      </w:pPr>
      <w:r>
        <w:rPr>
          <w:sz w:val="20"/>
        </w:rPr>
        <w:t xml:space="preserve">3.2.9. В случае смерти, признания в установленном порядке безвестно отсутствующим или объявления умершим участника Государственной программы за лицами, указанными в свидетельстве участника Государственной программы, сохраняется статус членов семьи участника Государственной программы.</w:t>
      </w:r>
    </w:p>
    <w:p>
      <w:pPr>
        <w:pStyle w:val="0"/>
        <w:spacing w:before="200" w:line-rule="auto"/>
        <w:ind w:firstLine="540"/>
        <w:jc w:val="both"/>
      </w:pPr>
      <w:r>
        <w:rPr>
          <w:sz w:val="20"/>
        </w:rPr>
        <w:t xml:space="preserve">3.3. Административные процедуры, совершаемые участниками Государственной программы при въезде на территорию Российской Федерации:</w:t>
      </w:r>
    </w:p>
    <w:p>
      <w:pPr>
        <w:pStyle w:val="0"/>
        <w:spacing w:before="200" w:line-rule="auto"/>
        <w:ind w:firstLine="540"/>
        <w:jc w:val="both"/>
      </w:pPr>
      <w:r>
        <w:rPr>
          <w:sz w:val="20"/>
        </w:rPr>
        <w:t xml:space="preserve">3.3.1. Порядок въезда в Российскую Федерацию, передвижения по территории Российской Федерации, выезда из Российской Федерации установлен международными договорами Российской Федерации, Федеральными законами Российской Федерации от 15 августа 1996 года </w:t>
      </w:r>
      <w:hyperlink w:history="0" r:id="rId126" w:tooltip="Федеральный закон от 15.08.1996 N 114-ФЗ (ред. от 04.08.2023) &quot;О порядке выезда из Российской Федерации и въезда в Российскую Федерацию&quot; {КонсультантПлюс}">
        <w:r>
          <w:rPr>
            <w:sz w:val="20"/>
            <w:color w:val="0000ff"/>
          </w:rPr>
          <w:t xml:space="preserve">N 114-ФЗ</w:t>
        </w:r>
      </w:hyperlink>
      <w:r>
        <w:rPr>
          <w:sz w:val="20"/>
        </w:rPr>
        <w:t xml:space="preserve"> "О порядке выезда из Российской Федерации и въезда в Российской Федерации", от 25 июля 2002 года </w:t>
      </w:r>
      <w:hyperlink w:history="0" r:id="rId127"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N 115-ФЗ</w:t>
        </w:r>
      </w:hyperlink>
      <w:r>
        <w:rPr>
          <w:sz w:val="20"/>
        </w:rPr>
        <w:t xml:space="preserve"> "О правовом положении иностранных граждан в Российской Федерации", </w:t>
      </w:r>
      <w:hyperlink w:history="0" r:id="rId128" w:tooltip="Постановление Правительства РФ от 16.08.2004 N 413 (ред. от 07.12.2020) &quot;О миграционной карте&quot; {КонсультантПлюс}">
        <w:r>
          <w:rPr>
            <w:sz w:val="20"/>
            <w:color w:val="0000ff"/>
          </w:rPr>
          <w:t xml:space="preserve">постановлением</w:t>
        </w:r>
      </w:hyperlink>
      <w:r>
        <w:rPr>
          <w:sz w:val="20"/>
        </w:rPr>
        <w:t xml:space="preserve"> Правительства Российской Федерации от 16 августа 2004 года N 413 "О миграционной карте" и другими нормативными актами.</w:t>
      </w:r>
    </w:p>
    <w:p>
      <w:pPr>
        <w:pStyle w:val="0"/>
        <w:spacing w:before="200" w:line-rule="auto"/>
        <w:ind w:firstLine="540"/>
        <w:jc w:val="both"/>
      </w:pPr>
      <w:r>
        <w:rPr>
          <w:sz w:val="20"/>
        </w:rPr>
        <w:t xml:space="preserve">3.4. Организация работы центров занятости населения с прибывшими в автономный округ участниками Государственной программы и членами их семей.</w:t>
      </w:r>
    </w:p>
    <w:p>
      <w:pPr>
        <w:pStyle w:val="0"/>
        <w:spacing w:before="200" w:line-rule="auto"/>
        <w:ind w:firstLine="540"/>
        <w:jc w:val="both"/>
      </w:pPr>
      <w:r>
        <w:rPr>
          <w:sz w:val="20"/>
        </w:rPr>
        <w:t xml:space="preserve">3.4.1. Управление направляет информацию о предполагаемом прибытии участника Государственной программы в Уполномоченный орган Югры, который информирует об этом центры занятости населения.</w:t>
      </w:r>
    </w:p>
    <w:p>
      <w:pPr>
        <w:pStyle w:val="0"/>
        <w:spacing w:before="200" w:line-rule="auto"/>
        <w:ind w:firstLine="540"/>
        <w:jc w:val="both"/>
      </w:pPr>
      <w:r>
        <w:rPr>
          <w:sz w:val="20"/>
        </w:rPr>
        <w:t xml:space="preserve">3.4.2. Участник Государственной программы и члены его семьи прибывают в предложенное ему муниципальное образование и осуществляют временное жилищное обустройство самостоятельно.</w:t>
      </w:r>
    </w:p>
    <w:p>
      <w:pPr>
        <w:pStyle w:val="0"/>
        <w:spacing w:before="200" w:line-rule="auto"/>
        <w:ind w:firstLine="540"/>
        <w:jc w:val="both"/>
      </w:pPr>
      <w:r>
        <w:rPr>
          <w:sz w:val="20"/>
        </w:rPr>
        <w:t xml:space="preserve">3.4.3. По прибытии в муниципальное образование автономного округа участник Государственной программы в течение 2 рабочих дней должен посетить центр занятости населения.</w:t>
      </w:r>
    </w:p>
    <w:p>
      <w:pPr>
        <w:pStyle w:val="0"/>
        <w:spacing w:before="200" w:line-rule="auto"/>
        <w:ind w:firstLine="540"/>
        <w:jc w:val="both"/>
      </w:pPr>
      <w:r>
        <w:rPr>
          <w:sz w:val="20"/>
        </w:rPr>
        <w:t xml:space="preserve">3.4.4. Центр занятости населения при посещении участником Государственной программы:</w:t>
      </w:r>
    </w:p>
    <w:p>
      <w:pPr>
        <w:pStyle w:val="0"/>
        <w:spacing w:before="200" w:line-rule="auto"/>
        <w:ind w:firstLine="540"/>
        <w:jc w:val="both"/>
      </w:pPr>
      <w:r>
        <w:rPr>
          <w:sz w:val="20"/>
        </w:rPr>
        <w:t xml:space="preserve">1) проверяет наличие документов, необходимых для организации дальнейшей работы по обустройству (паспорт либо иной документ, признаваемый в соответствии с международными договорами Российской Федерации в качестве документа, удостоверяющего личность; свидетельство участника Государственной программы, проездные документы);</w:t>
      </w:r>
    </w:p>
    <w:p>
      <w:pPr>
        <w:pStyle w:val="0"/>
        <w:spacing w:before="200" w:line-rule="auto"/>
        <w:ind w:firstLine="540"/>
        <w:jc w:val="both"/>
      </w:pPr>
      <w:r>
        <w:rPr>
          <w:sz w:val="20"/>
        </w:rPr>
        <w:t xml:space="preserve">2) в течение 1 рабочего дня (посредством телефонной, факсимильной связи) информирует Уполномоченный орган Югры о прибытии участника Государственной программы;</w:t>
      </w:r>
    </w:p>
    <w:p>
      <w:pPr>
        <w:pStyle w:val="0"/>
        <w:spacing w:before="200" w:line-rule="auto"/>
        <w:ind w:firstLine="540"/>
        <w:jc w:val="both"/>
      </w:pPr>
      <w:r>
        <w:rPr>
          <w:sz w:val="20"/>
        </w:rPr>
        <w:t xml:space="preserve">3) уведомляет о приезде участника Государственной программы работодателя и готовности участника Государственной программы к трудоустройству, а также организует встречу участника Государственной программы с работодателем (в случае если трудоустройство осуществляется на вакансии, предложенные соотечественнику при согласовании его кандидатуры для участия в Государственной программе);</w:t>
      </w:r>
    </w:p>
    <w:p>
      <w:pPr>
        <w:pStyle w:val="0"/>
        <w:spacing w:before="200" w:line-rule="auto"/>
        <w:ind w:firstLine="540"/>
        <w:jc w:val="both"/>
      </w:pPr>
      <w:r>
        <w:rPr>
          <w:sz w:val="20"/>
        </w:rPr>
        <w:t xml:space="preserve">4) отслеживает ход трудоустройства участника Государственной программы;</w:t>
      </w:r>
    </w:p>
    <w:p>
      <w:pPr>
        <w:pStyle w:val="0"/>
        <w:spacing w:before="200" w:line-rule="auto"/>
        <w:ind w:firstLine="540"/>
        <w:jc w:val="both"/>
      </w:pPr>
      <w:r>
        <w:rPr>
          <w:sz w:val="20"/>
        </w:rPr>
        <w:t xml:space="preserve">5) осуществляет подбор других вариантов трудоустройства участника Государственной программы с учетом его профессии (специальности) в случае отказа работодателя от приема на работу прибывшего участника Государственной программы;</w:t>
      </w:r>
    </w:p>
    <w:p>
      <w:pPr>
        <w:pStyle w:val="0"/>
        <w:spacing w:before="200" w:line-rule="auto"/>
        <w:ind w:firstLine="540"/>
        <w:jc w:val="both"/>
      </w:pPr>
      <w:r>
        <w:rPr>
          <w:sz w:val="20"/>
        </w:rPr>
        <w:t xml:space="preserve">6) оказывает консультационные услуги участнику Государственной программы;</w:t>
      </w:r>
    </w:p>
    <w:p>
      <w:pPr>
        <w:pStyle w:val="0"/>
        <w:spacing w:before="200" w:line-rule="auto"/>
        <w:ind w:firstLine="540"/>
        <w:jc w:val="both"/>
      </w:pPr>
      <w:r>
        <w:rPr>
          <w:sz w:val="20"/>
        </w:rPr>
        <w:t xml:space="preserve">7) отслеживает ход временного обустройства участника Государственной программы и членов его семьи;</w:t>
      </w:r>
    </w:p>
    <w:p>
      <w:pPr>
        <w:pStyle w:val="0"/>
        <w:spacing w:before="200" w:line-rule="auto"/>
        <w:ind w:firstLine="540"/>
        <w:jc w:val="both"/>
      </w:pPr>
      <w:r>
        <w:rPr>
          <w:sz w:val="20"/>
        </w:rPr>
        <w:t xml:space="preserve">8) осуществляет ежемесячный прием соответствующих документов, необходимых для компенсации участнику Государственной программы его расходов на временное жилищное обустройство.</w:t>
      </w:r>
    </w:p>
    <w:p>
      <w:pPr>
        <w:pStyle w:val="0"/>
        <w:spacing w:before="200" w:line-rule="auto"/>
        <w:ind w:firstLine="540"/>
        <w:jc w:val="both"/>
      </w:pPr>
      <w:r>
        <w:rPr>
          <w:sz w:val="20"/>
        </w:rPr>
        <w:t xml:space="preserve">3.5. Регистрация участника Государственной программы.</w:t>
      </w:r>
    </w:p>
    <w:p>
      <w:pPr>
        <w:pStyle w:val="0"/>
        <w:spacing w:before="200" w:line-rule="auto"/>
        <w:ind w:firstLine="540"/>
        <w:jc w:val="both"/>
      </w:pPr>
      <w:r>
        <w:rPr>
          <w:sz w:val="20"/>
        </w:rPr>
        <w:t xml:space="preserve">3.5.1. Получение разрешения на временное проживание и вида на жительство осуществляется в соответствии с Федеральным </w:t>
      </w:r>
      <w:hyperlink w:history="0" r:id="rId129" w:tooltip="Федеральный закон от 25.07.2002 N 115-ФЗ (ред. от 10.07.2023)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Российской Федерации от 25 июля 2002 года N 115-ФЗ "О правовом положении иностранных граждан в Российской Федерации", приказами МВД России от 11 июня 2020 года </w:t>
      </w:r>
      <w:hyperlink w:history="0" r:id="rId130"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N 417</w:t>
        </w:r>
      </w:hyperlink>
      <w:r>
        <w:rPr>
          <w:sz w:val="20"/>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 от 8 июня 2020 года </w:t>
      </w:r>
      <w:hyperlink w:history="0" r:id="rId131"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N 407</w:t>
        </w:r>
      </w:hyperlink>
      <w:r>
        <w:rPr>
          <w:sz w:val="20"/>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pPr>
        <w:pStyle w:val="0"/>
        <w:spacing w:before="200" w:line-rule="auto"/>
        <w:ind w:firstLine="540"/>
        <w:jc w:val="both"/>
      </w:pPr>
      <w:r>
        <w:rPr>
          <w:sz w:val="20"/>
        </w:rPr>
        <w:t xml:space="preserve">3.5.2. Постановка на учет по месту пребывания и регистрация по месту жительства иностранных граждан и лиц без гражданства осуществляется в соответствии с Федеральным </w:t>
      </w:r>
      <w:hyperlink w:history="0" r:id="rId132"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КонсультантПлюс}">
        <w:r>
          <w:rPr>
            <w:sz w:val="20"/>
            <w:color w:val="0000ff"/>
          </w:rPr>
          <w:t xml:space="preserve">законом</w:t>
        </w:r>
      </w:hyperlink>
      <w:r>
        <w:rPr>
          <w:sz w:val="20"/>
        </w:rPr>
        <w:t xml:space="preserve"> от 18 июля 2006 года N 109-ФЗ "О миграционном учете иностранных граждан и лиц без гражданства в Российской Федерации", </w:t>
      </w:r>
      <w:hyperlink w:history="0" r:id="rId133" w:tooltip="Постановление Правительства РФ от 15.01.2007 N 9 (ред. от 21.10.2023) &quot;О порядке осуществления миграционного учета иностранных граждан и лиц без гражданства в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15 января 2007 года N 9 "О порядке осуществления миграционного учета иностранных граждан и лиц без гражданства в Российской Федерации" и </w:t>
      </w:r>
      <w:hyperlink w:history="0" r:id="rId134"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приказом</w:t>
        </w:r>
      </w:hyperlink>
      <w:r>
        <w:rPr>
          <w:sz w:val="20"/>
        </w:rPr>
        <w:t xml:space="preserve"> МВД России от 10 декабря 2020 года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pPr>
        <w:pStyle w:val="0"/>
        <w:jc w:val="both"/>
      </w:pPr>
      <w:r>
        <w:rPr>
          <w:sz w:val="20"/>
        </w:rPr>
        <w:t xml:space="preserve">(в ред. </w:t>
      </w:r>
      <w:hyperlink w:history="0" r:id="rId135"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3.6. Прием в гражданство Российской Федерации.</w:t>
      </w:r>
    </w:p>
    <w:p>
      <w:pPr>
        <w:pStyle w:val="0"/>
        <w:spacing w:before="200" w:line-rule="auto"/>
        <w:ind w:firstLine="540"/>
        <w:jc w:val="both"/>
      </w:pPr>
      <w:r>
        <w:rPr>
          <w:sz w:val="20"/>
        </w:rPr>
        <w:t xml:space="preserve">3.6.1. Прием в гражданство Российской Федерации участника Государственной программы осуществляется в соответствии с Федеральным </w:t>
      </w:r>
      <w:hyperlink w:history="0" r:id="rId136" w:tooltip="Федеральный закон от 28.04.2023 N 138-ФЗ (ред. от 24.07.2023) &quot;О гражданстве Российской Федерации&quot; {КонсультантПлюс}">
        <w:r>
          <w:rPr>
            <w:sz w:val="20"/>
            <w:color w:val="0000ff"/>
          </w:rPr>
          <w:t xml:space="preserve">законом</w:t>
        </w:r>
      </w:hyperlink>
      <w:r>
        <w:rPr>
          <w:sz w:val="20"/>
        </w:rPr>
        <w:t xml:space="preserve"> от 28 апреля 2023 года N 138-ФЗ "О гражданстве Российской Федерации", </w:t>
      </w:r>
      <w:hyperlink w:history="0" r:id="rId137" w:tooltip="Указ Президента РФ от 14.11.2002 N 1325 (ред. от 03.07.2023) &quot;Об утверждении Положения о порядке рассмотрения вопросов гражданства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14 ноября 2002 года N 1325 "Об утверждении Положения о порядке рассмотрения вопросов гражданства Российской Федерации".</w:t>
      </w:r>
    </w:p>
    <w:p>
      <w:pPr>
        <w:pStyle w:val="0"/>
        <w:jc w:val="both"/>
      </w:pPr>
      <w:r>
        <w:rPr>
          <w:sz w:val="20"/>
        </w:rPr>
        <w:t xml:space="preserve">(в ред. </w:t>
      </w:r>
      <w:hyperlink w:history="0" r:id="rId138"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jc w:val="both"/>
      </w:pPr>
      <w:r>
        <w:rPr>
          <w:sz w:val="20"/>
        </w:rPr>
      </w:r>
    </w:p>
    <w:p>
      <w:pPr>
        <w:pStyle w:val="2"/>
        <w:outlineLvl w:val="2"/>
        <w:jc w:val="center"/>
      </w:pPr>
      <w:r>
        <w:rPr>
          <w:sz w:val="20"/>
        </w:rPr>
        <w:t xml:space="preserve">IV. Порядок предоставления услуг по содействию</w:t>
      </w:r>
    </w:p>
    <w:p>
      <w:pPr>
        <w:pStyle w:val="2"/>
        <w:jc w:val="center"/>
      </w:pPr>
      <w:r>
        <w:rPr>
          <w:sz w:val="20"/>
        </w:rPr>
        <w:t xml:space="preserve">трудоустройству участникам Государственной программы</w:t>
      </w:r>
    </w:p>
    <w:p>
      <w:pPr>
        <w:pStyle w:val="2"/>
        <w:jc w:val="center"/>
      </w:pPr>
      <w:r>
        <w:rPr>
          <w:sz w:val="20"/>
        </w:rPr>
        <w:t xml:space="preserve">и членам их семей</w:t>
      </w:r>
    </w:p>
    <w:p>
      <w:pPr>
        <w:pStyle w:val="0"/>
        <w:jc w:val="both"/>
      </w:pPr>
      <w:r>
        <w:rPr>
          <w:sz w:val="20"/>
        </w:rPr>
      </w:r>
    </w:p>
    <w:p>
      <w:pPr>
        <w:pStyle w:val="0"/>
        <w:ind w:firstLine="540"/>
        <w:jc w:val="both"/>
      </w:pPr>
      <w:r>
        <w:rPr>
          <w:sz w:val="20"/>
        </w:rPr>
        <w:t xml:space="preserve">4.1. Мероприятия по содействию трудоустройству участников Государственной программы и членов их семей до момента приезда на территорию муниципального образования автономного округа:</w:t>
      </w:r>
    </w:p>
    <w:p>
      <w:pPr>
        <w:pStyle w:val="0"/>
        <w:spacing w:before="200" w:line-rule="auto"/>
        <w:ind w:firstLine="540"/>
        <w:jc w:val="both"/>
      </w:pPr>
      <w:r>
        <w:rPr>
          <w:sz w:val="20"/>
        </w:rPr>
        <w:t xml:space="preserve">Подпрограммой предусмотрены мероприятия по трудоустройству, осуществляемые центрами занятости населения:</w:t>
      </w:r>
    </w:p>
    <w:p>
      <w:pPr>
        <w:pStyle w:val="0"/>
        <w:spacing w:before="200" w:line-rule="auto"/>
        <w:ind w:firstLine="540"/>
        <w:jc w:val="both"/>
      </w:pPr>
      <w:r>
        <w:rPr>
          <w:sz w:val="20"/>
        </w:rPr>
        <w:t xml:space="preserve">формирование банка вакансий для потенциального участника Государственной программы и размещение его на официальных веб-ресурсах органов государственной власти автономного округа;</w:t>
      </w:r>
    </w:p>
    <w:p>
      <w:pPr>
        <w:pStyle w:val="0"/>
        <w:spacing w:before="200" w:line-rule="auto"/>
        <w:ind w:firstLine="540"/>
        <w:jc w:val="both"/>
      </w:pPr>
      <w:r>
        <w:rPr>
          <w:sz w:val="20"/>
        </w:rPr>
        <w:t xml:space="preserve">подбор рабочего места в соответствии с данными заявления;</w:t>
      </w:r>
    </w:p>
    <w:p>
      <w:pPr>
        <w:pStyle w:val="0"/>
        <w:spacing w:before="200" w:line-rule="auto"/>
        <w:ind w:firstLine="540"/>
        <w:jc w:val="both"/>
      </w:pPr>
      <w:r>
        <w:rPr>
          <w:sz w:val="20"/>
        </w:rPr>
        <w:t xml:space="preserve">согласование кандидатуры потенциального участника Государственной программы с работодателем;</w:t>
      </w:r>
    </w:p>
    <w:p>
      <w:pPr>
        <w:pStyle w:val="0"/>
        <w:spacing w:before="200" w:line-rule="auto"/>
        <w:ind w:firstLine="540"/>
        <w:jc w:val="both"/>
      </w:pPr>
      <w:r>
        <w:rPr>
          <w:sz w:val="20"/>
        </w:rPr>
        <w:t xml:space="preserve">подбор рабочих мест, на которые могут быть трудоустроены трудоспособные члены семьи участника Государственной программы.</w:t>
      </w:r>
    </w:p>
    <w:p>
      <w:pPr>
        <w:pStyle w:val="0"/>
        <w:spacing w:before="200" w:line-rule="auto"/>
        <w:ind w:firstLine="540"/>
        <w:jc w:val="both"/>
      </w:pPr>
      <w:r>
        <w:rPr>
          <w:sz w:val="20"/>
        </w:rPr>
        <w:t xml:space="preserve">4.2. Порядок трудоустройства участника Государственной программы и членов его семьи после приезда в муниципальное образование автономного округа.</w:t>
      </w:r>
    </w:p>
    <w:p>
      <w:pPr>
        <w:pStyle w:val="0"/>
        <w:spacing w:before="200" w:line-rule="auto"/>
        <w:ind w:firstLine="540"/>
        <w:jc w:val="both"/>
      </w:pPr>
      <w:r>
        <w:rPr>
          <w:sz w:val="20"/>
        </w:rPr>
        <w:t xml:space="preserve">4.2.1. По прибытии участника Государственной программы и членов его семьи, в случае отказа работодателя от приема на работу прибывшего участника Государственной программы, центр занятости населения осуществляет им подбор рабочих мест в рамках государственной услуги содействия в поиске подходящей работы, а работодателям - в подборе необходимых работников.</w:t>
      </w:r>
    </w:p>
    <w:p>
      <w:pPr>
        <w:pStyle w:val="0"/>
        <w:spacing w:before="200" w:line-rule="auto"/>
        <w:ind w:firstLine="540"/>
        <w:jc w:val="both"/>
      </w:pPr>
      <w:r>
        <w:rPr>
          <w:sz w:val="20"/>
        </w:rPr>
        <w:t xml:space="preserve">4.2.2. После получения гражданства Российской Федерации участникам Государственной программы и членам их семей могут быть оказаны центрами занятости населения в соответствии с </w:t>
      </w:r>
      <w:hyperlink w:history="0" r:id="rId139"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1032-I "О занятости населения в Российской Федерации" государственные услуги:</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профессиональное обучение и дополнительное профессиональное образование безработных граждан, включая обучение в другой местности;</w:t>
      </w:r>
    </w:p>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pPr>
        <w:pStyle w:val="0"/>
        <w:spacing w:before="200" w:line-rule="auto"/>
        <w:ind w:firstLine="540"/>
        <w:jc w:val="both"/>
      </w:pPr>
      <w:r>
        <w:rPr>
          <w:sz w:val="20"/>
        </w:rPr>
        <w:t xml:space="preserve">социальная адаптация безработных граждан на рынке труда;</w:t>
      </w:r>
    </w:p>
    <w:p>
      <w:pPr>
        <w:pStyle w:val="0"/>
        <w:spacing w:before="200" w:line-rule="auto"/>
        <w:ind w:firstLine="540"/>
        <w:jc w:val="both"/>
      </w:pPr>
      <w:r>
        <w:rPr>
          <w:sz w:val="20"/>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pPr>
        <w:pStyle w:val="0"/>
        <w:jc w:val="both"/>
      </w:pPr>
      <w:r>
        <w:rPr>
          <w:sz w:val="20"/>
        </w:rPr>
        <w:t xml:space="preserve">(в ред. </w:t>
      </w:r>
      <w:hyperlink w:history="0" r:id="rId140"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4.2.3. С целью организации собственного дела участники Государственной программы и члены их семей могут принять участие в мероприятиях государственной программы автономного округа "Поддержка занятости населения" (далее - программа "Поддержка занятости населения").</w:t>
      </w:r>
    </w:p>
    <w:p>
      <w:pPr>
        <w:pStyle w:val="0"/>
        <w:spacing w:before="200" w:line-rule="auto"/>
        <w:ind w:firstLine="540"/>
        <w:jc w:val="both"/>
      </w:pPr>
      <w:r>
        <w:rPr>
          <w:sz w:val="20"/>
        </w:rPr>
        <w:t xml:space="preserve">4.2.4. Участники Государственной программы и члены их семей, изъявившие желание заняться агропромышленным производством, могут после получения гражданства Российской Федерации принять участие в реализации государственной программы автономного округа "Развитие агропромышленного комплекса" (далее - программа "Развитие агропромышленного комплекса").</w:t>
      </w:r>
    </w:p>
    <w:p>
      <w:pPr>
        <w:pStyle w:val="0"/>
        <w:jc w:val="both"/>
      </w:pPr>
      <w:r>
        <w:rPr>
          <w:sz w:val="20"/>
        </w:rPr>
      </w:r>
    </w:p>
    <w:p>
      <w:pPr>
        <w:pStyle w:val="2"/>
        <w:outlineLvl w:val="2"/>
        <w:jc w:val="center"/>
      </w:pPr>
      <w:r>
        <w:rPr>
          <w:sz w:val="20"/>
        </w:rPr>
        <w:t xml:space="preserve">V. Предоставление участникам Государственной программы</w:t>
      </w:r>
    </w:p>
    <w:p>
      <w:pPr>
        <w:pStyle w:val="2"/>
        <w:jc w:val="center"/>
      </w:pPr>
      <w:r>
        <w:rPr>
          <w:sz w:val="20"/>
        </w:rPr>
        <w:t xml:space="preserve">выплат, предусмотренных федеральным законодательством</w:t>
      </w:r>
    </w:p>
    <w:p>
      <w:pPr>
        <w:pStyle w:val="0"/>
        <w:jc w:val="both"/>
      </w:pPr>
      <w:r>
        <w:rPr>
          <w:sz w:val="20"/>
        </w:rPr>
      </w:r>
    </w:p>
    <w:bookmarkStart w:id="1447" w:name="P1447"/>
    <w:bookmarkEnd w:id="1447"/>
    <w:p>
      <w:pPr>
        <w:pStyle w:val="0"/>
        <w:ind w:firstLine="540"/>
        <w:jc w:val="both"/>
      </w:pPr>
      <w:r>
        <w:rPr>
          <w:sz w:val="20"/>
        </w:rPr>
        <w:t xml:space="preserve">5.1. Участник Государственной программы и члены его семьи имеют право на получение государственных гарантий и социальной поддержки, предоставляемых за счет средств федерального бюджета, в зависимости от выбранной территории вселения, в том числе:</w:t>
      </w:r>
    </w:p>
    <w:p>
      <w:pPr>
        <w:pStyle w:val="0"/>
        <w:spacing w:before="200" w:line-rule="auto"/>
        <w:ind w:firstLine="540"/>
        <w:jc w:val="both"/>
      </w:pPr>
      <w:r>
        <w:rPr>
          <w:sz w:val="20"/>
        </w:rPr>
        <w:t xml:space="preserve">а) на компенсацию расходов на переезд к будущему месту проживания, в том числе на оплату проезда и провоза личного имущества, включая транспортные средства, в соответствии с </w:t>
      </w:r>
      <w:hyperlink w:history="0" r:id="rId141"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разделом VII</w:t>
        </w:r>
      </w:hyperlink>
      <w:r>
        <w:rPr>
          <w:sz w:val="20"/>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РФ);</w:t>
      </w:r>
    </w:p>
    <w:p>
      <w:pPr>
        <w:pStyle w:val="0"/>
        <w:spacing w:before="200" w:line-rule="auto"/>
        <w:ind w:firstLine="540"/>
        <w:jc w:val="both"/>
      </w:pPr>
      <w:r>
        <w:rPr>
          <w:sz w:val="20"/>
        </w:rPr>
        <w:t xml:space="preserve">б) на компенсацию расходов на уплату государственной пошлины за оформление документов, определяющих правовой статус переселенцев на территории Российской Федерации, а также на 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pPr>
        <w:pStyle w:val="0"/>
        <w:spacing w:before="200" w:line-rule="auto"/>
        <w:ind w:firstLine="540"/>
        <w:jc w:val="both"/>
      </w:pPr>
      <w:r>
        <w:rPr>
          <w:sz w:val="20"/>
        </w:rPr>
        <w:t xml:space="preserve">в) на получение подъемных, размер которых определяется с учетом величины прожиточного минимума, установленной в автономном округе для основных социально-демографических групп населения.</w:t>
      </w:r>
    </w:p>
    <w:p>
      <w:pPr>
        <w:pStyle w:val="0"/>
        <w:spacing w:before="200" w:line-rule="auto"/>
        <w:ind w:firstLine="540"/>
        <w:jc w:val="both"/>
      </w:pPr>
      <w:r>
        <w:rPr>
          <w:sz w:val="20"/>
        </w:rPr>
        <w:t xml:space="preserve">5.2. </w:t>
      </w:r>
      <w:hyperlink w:history="0" r:id="rId142" w:tooltip="Постановление Правительства РФ от 10.03.2007 N 150 (ред. от 15.10.2021) &quot;О порядке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компенсации расходов на переезд к будущему месту проживания участникам Государственной программы по оказанию содействия добровольному переселению в Российскую Фе {КонсультантПлюс}">
        <w:r>
          <w:rPr>
            <w:sz w:val="20"/>
            <w:color w:val="0000ff"/>
          </w:rPr>
          <w:t xml:space="preserve">Правила</w:t>
        </w:r>
      </w:hyperlink>
      <w:r>
        <w:rPr>
          <w:sz w:val="20"/>
        </w:rPr>
        <w:t xml:space="preserve"> выплаты компенсации транспортных расходов участникам Государственной программы и порядок ее выплаты установлены постановлением Правительства Российской Федерации от 10 марта 2007 года N 150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компенсации расходов на переезд к будущему месту проживания".</w:t>
      </w:r>
    </w:p>
    <w:p>
      <w:pPr>
        <w:pStyle w:val="0"/>
        <w:spacing w:before="200" w:line-rule="auto"/>
        <w:ind w:firstLine="540"/>
        <w:jc w:val="both"/>
      </w:pPr>
      <w:r>
        <w:rPr>
          <w:sz w:val="20"/>
        </w:rPr>
        <w:t xml:space="preserve">5.3. </w:t>
      </w:r>
      <w:hyperlink w:history="0" r:id="rId143" w:tooltip="Постановление Правительства РФ от 25.09.2008 N 715 (ред. от 15.10.2021) &quot;Об утверждении Правил выплаты компенсации расходов на уплату государственных пошлин, консульского сбора и сбора в счет возмещения фактических расходов, связанных с оформлением документов, определяющих правовой статус переселенцев на территории Российской Федераци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Правила</w:t>
        </w:r>
      </w:hyperlink>
      <w:r>
        <w:rPr>
          <w:sz w:val="20"/>
        </w:rPr>
        <w:t xml:space="preserve"> выплаты компенсации расходов на уплату государственной пошлины за оформление документов, определяющих правовой статус переселенцев на территории Российской Федерации, установлены постановлением Правительства Российской Федерации от 25 сентября 2008 года N 715 "Об утверждении правил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компенсации за счет средств федерального бюджета расходов на уплату государственной пошлины за оформление документов, определяющих правовой статус переселенцев на территории Российской Федерации".</w:t>
      </w:r>
    </w:p>
    <w:p>
      <w:pPr>
        <w:pStyle w:val="0"/>
        <w:spacing w:before="200" w:line-rule="auto"/>
        <w:ind w:firstLine="540"/>
        <w:jc w:val="both"/>
      </w:pPr>
      <w:r>
        <w:rPr>
          <w:sz w:val="20"/>
        </w:rPr>
        <w:t xml:space="preserve">5.4. </w:t>
      </w:r>
      <w:hyperlink w:history="0" r:id="rId144" w:tooltip="Постановление Правительства РФ от 27.03.2013 N 270 (ред. от 15.10.2021) &quot;О порядке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вместе с &quot;Правилами выплаты подъемных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quot;) {КонсультантПлюс}">
        <w:r>
          <w:rPr>
            <w:sz w:val="20"/>
            <w:color w:val="0000ff"/>
          </w:rPr>
          <w:t xml:space="preserve">Правила</w:t>
        </w:r>
      </w:hyperlink>
      <w:r>
        <w:rPr>
          <w:sz w:val="20"/>
        </w:rPr>
        <w:t xml:space="preserve"> выплаты пособия на обустройство (подъемных) установлены Постановлением Правительства Российской Федерации от 27 марта 2013 года N 270 "О порядке осуществления выплаты пособия на обустройство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p>
      <w:pPr>
        <w:pStyle w:val="0"/>
        <w:spacing w:before="200" w:line-rule="auto"/>
        <w:ind w:firstLine="540"/>
        <w:jc w:val="both"/>
      </w:pPr>
      <w:r>
        <w:rPr>
          <w:sz w:val="20"/>
        </w:rPr>
        <w:t xml:space="preserve">5.5. Правила и порядок возврата государственных гарантий и социальной поддержки, установленных </w:t>
      </w:r>
      <w:hyperlink w:history="0" w:anchor="P1447" w:tooltip="5.1. Участник Государственной программы и члены его семьи имеют право на получение государственных гарантий и социальной поддержки, предоставляемых за счет средств федерального бюджета, в зависимости от выбранной территории вселения, в том числе:">
        <w:r>
          <w:rPr>
            <w:sz w:val="20"/>
            <w:color w:val="0000ff"/>
          </w:rPr>
          <w:t xml:space="preserve">пунктом 5.1</w:t>
        </w:r>
      </w:hyperlink>
      <w:r>
        <w:rPr>
          <w:sz w:val="20"/>
        </w:rPr>
        <w:t xml:space="preserve"> Порядка, определены </w:t>
      </w:r>
      <w:hyperlink w:history="0" r:id="rId145" w:tooltip="Постановление Правительства РФ от 26.11.2020 N 1937 (ред. от 15.10.2021) &quot;Об утверждении Правил взыскания с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ов их семей понесенных государством затрат, связанных с предоставлением им государственных гарантий и социальной поддержки, и о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26 ноября 2020 года N 1937 "Об утверждении Правил взыскания с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(или) членов их семей понесенных государством затрат, связанных с предоставлением им государственных гарантий и социальной поддержки, и о признании утратившими силу отдельных положений некоторых актов Правительства Российской Федерации".</w:t>
      </w:r>
    </w:p>
    <w:p>
      <w:pPr>
        <w:pStyle w:val="0"/>
        <w:spacing w:before="200" w:line-rule="auto"/>
        <w:ind w:firstLine="540"/>
        <w:jc w:val="both"/>
      </w:pPr>
      <w:r>
        <w:rPr>
          <w:sz w:val="20"/>
        </w:rPr>
        <w:t xml:space="preserve">5.6. В случае утраты переселенцем статуса участника Государственной программы или статуса члена семьи участника Государственной программы, его смерти, признания в установленном порядке безвестно отсутствующим или объявления умершим государственные гарантии и социальная поддержка в отношении такого лица не предоставляются.</w:t>
      </w:r>
    </w:p>
    <w:p>
      <w:pPr>
        <w:pStyle w:val="0"/>
        <w:jc w:val="both"/>
      </w:pPr>
      <w:r>
        <w:rPr>
          <w:sz w:val="20"/>
        </w:rPr>
      </w:r>
    </w:p>
    <w:p>
      <w:pPr>
        <w:pStyle w:val="2"/>
        <w:outlineLvl w:val="2"/>
        <w:jc w:val="center"/>
      </w:pPr>
      <w:r>
        <w:rPr>
          <w:sz w:val="20"/>
        </w:rPr>
        <w:t xml:space="preserve">VI. Предоставление участникам Государственной программы</w:t>
      </w:r>
    </w:p>
    <w:p>
      <w:pPr>
        <w:pStyle w:val="2"/>
        <w:jc w:val="center"/>
      </w:pPr>
      <w:r>
        <w:rPr>
          <w:sz w:val="20"/>
        </w:rPr>
        <w:t xml:space="preserve">и членам их семей образовательных, медицинских услуг, услуг</w:t>
      </w:r>
    </w:p>
    <w:p>
      <w:pPr>
        <w:pStyle w:val="2"/>
        <w:jc w:val="center"/>
      </w:pPr>
      <w:r>
        <w:rPr>
          <w:sz w:val="20"/>
        </w:rPr>
        <w:t xml:space="preserve">социального обслуживания</w:t>
      </w:r>
    </w:p>
    <w:p>
      <w:pPr>
        <w:pStyle w:val="0"/>
        <w:jc w:val="both"/>
      </w:pPr>
      <w:r>
        <w:rPr>
          <w:sz w:val="20"/>
        </w:rPr>
      </w:r>
    </w:p>
    <w:p>
      <w:pPr>
        <w:pStyle w:val="0"/>
        <w:ind w:firstLine="540"/>
        <w:jc w:val="both"/>
      </w:pPr>
      <w:r>
        <w:rPr>
          <w:sz w:val="20"/>
        </w:rPr>
        <w:t xml:space="preserve">6.1. Участники Государственной программы и члены их семей имеют право на получение услуг образовательных организаций, учреждений социального обслуживания и здравоохранения:</w:t>
      </w:r>
    </w:p>
    <w:p>
      <w:pPr>
        <w:pStyle w:val="0"/>
        <w:spacing w:before="200" w:line-rule="auto"/>
        <w:ind w:firstLine="540"/>
        <w:jc w:val="both"/>
      </w:pPr>
      <w:r>
        <w:rPr>
          <w:sz w:val="20"/>
        </w:rPr>
        <w:t xml:space="preserve">6.1.1. В области образования - предоставление в порядке очередности мест в дошкольных образовательных организациях и оказание услуг в получении соответствующего уровня образования в общеобразовательных и профессиональных образовательных организациях.</w:t>
      </w:r>
    </w:p>
    <w:p>
      <w:pPr>
        <w:pStyle w:val="0"/>
        <w:spacing w:before="200" w:line-rule="auto"/>
        <w:ind w:firstLine="540"/>
        <w:jc w:val="both"/>
      </w:pPr>
      <w:r>
        <w:rPr>
          <w:sz w:val="20"/>
        </w:rPr>
        <w:t xml:space="preserve">6.1.2. Предоставление общего образования, профессионального образования, дополнительного образования детям участников Государственной программы осуществляется в соответствии с Федеральным </w:t>
      </w:r>
      <w:hyperlink w:history="0" r:id="rId14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w:t>
      </w:r>
    </w:p>
    <w:p>
      <w:pPr>
        <w:pStyle w:val="0"/>
        <w:spacing w:before="200" w:line-rule="auto"/>
        <w:ind w:firstLine="540"/>
        <w:jc w:val="both"/>
      </w:pPr>
      <w:r>
        <w:rPr>
          <w:sz w:val="20"/>
        </w:rPr>
        <w:t xml:space="preserve">6.1.3. В области социального обслуживания - предоставление мест в учреждениях социального обслуживания населения и оказание иных услуг в соответствии с законодательством Российской Федерации о социальном обслуживании граждан.</w:t>
      </w:r>
    </w:p>
    <w:p>
      <w:pPr>
        <w:pStyle w:val="0"/>
        <w:spacing w:before="200" w:line-rule="auto"/>
        <w:ind w:firstLine="540"/>
        <w:jc w:val="both"/>
      </w:pPr>
      <w:r>
        <w:rPr>
          <w:sz w:val="20"/>
        </w:rPr>
        <w:t xml:space="preserve">6.1.4. В соответствии с Федеральным </w:t>
      </w:r>
      <w:hyperlink w:history="0" r:id="rId147"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 декабря 2013 года N 442-ФЗ "Об основах социального обслуживания граждан в Российской Федерации" иностранные граждане пользуются теми же правами в сфере социального обслуживания, что и граждане Российской Федерации.</w:t>
      </w:r>
    </w:p>
    <w:p>
      <w:pPr>
        <w:pStyle w:val="0"/>
        <w:spacing w:before="200" w:line-rule="auto"/>
        <w:ind w:firstLine="540"/>
        <w:jc w:val="both"/>
      </w:pPr>
      <w:r>
        <w:rPr>
          <w:sz w:val="20"/>
        </w:rPr>
        <w:t xml:space="preserve">6.1.5. Участникам Государственной программы и членам их семей предоставляются бесплатные услуги социального обслуживания, предусмотренные законодательством, после их регистрации в установленном порядке и до приобретения ими гражданства Российской Федерации.</w:t>
      </w:r>
    </w:p>
    <w:p>
      <w:pPr>
        <w:pStyle w:val="0"/>
        <w:spacing w:before="200" w:line-rule="auto"/>
        <w:ind w:firstLine="540"/>
        <w:jc w:val="both"/>
      </w:pPr>
      <w:r>
        <w:rPr>
          <w:sz w:val="20"/>
        </w:rPr>
        <w:t xml:space="preserve">6.1.6. Зачисление участников Государственной программы и членов их семей на социальное обслуживание в учреждения социального обслуживания населения автономного округа осуществляется на основании документа установленного образца (свидетельство участника Государственной программы), подтверждающего их статус, а также иных документов, предусмотренных действующим законодательством.</w:t>
      </w:r>
    </w:p>
    <w:p>
      <w:pPr>
        <w:pStyle w:val="0"/>
        <w:spacing w:before="200" w:line-rule="auto"/>
        <w:ind w:firstLine="540"/>
        <w:jc w:val="both"/>
      </w:pPr>
      <w:r>
        <w:rPr>
          <w:sz w:val="20"/>
        </w:rPr>
        <w:t xml:space="preserve">6.1.7. В области здравоохранения - предоставление бесплатной медицинской помощи участникам Государственной программы и членам их семей до и после оформления гражданства Российской Федерации, осуществляется в рамках Территориальной программы государственных гарантий бесплатного оказания гражданам медицинской помощи в автономном округе.</w:t>
      </w:r>
    </w:p>
    <w:p>
      <w:pPr>
        <w:pStyle w:val="0"/>
        <w:spacing w:before="200" w:line-rule="auto"/>
        <w:ind w:firstLine="540"/>
        <w:jc w:val="both"/>
      </w:pPr>
      <w:r>
        <w:rPr>
          <w:sz w:val="20"/>
        </w:rPr>
        <w:t xml:space="preserve">6.1.8. Получение участником Государственной программы и членами их семей медицинских услуг выполняется в медицинских организациях автономного округа.</w:t>
      </w:r>
    </w:p>
    <w:p>
      <w:pPr>
        <w:pStyle w:val="0"/>
        <w:spacing w:before="200" w:line-rule="auto"/>
        <w:ind w:firstLine="540"/>
        <w:jc w:val="both"/>
      </w:pPr>
      <w:r>
        <w:rPr>
          <w:sz w:val="20"/>
        </w:rPr>
        <w:t xml:space="preserve">6.1.9. Документом, дающим основание для оказания медицинских услуг, служит свидетельство участника Государственной программы или члена его семьи установленного образца.</w:t>
      </w:r>
    </w:p>
    <w:p>
      <w:pPr>
        <w:pStyle w:val="0"/>
        <w:spacing w:before="200" w:line-rule="auto"/>
        <w:ind w:firstLine="540"/>
        <w:jc w:val="both"/>
      </w:pPr>
      <w:r>
        <w:rPr>
          <w:sz w:val="20"/>
        </w:rPr>
        <w:t xml:space="preserve">6.1.10. Согласно Федеральному </w:t>
      </w:r>
      <w:hyperlink w:history="0" r:id="rId148" w:tooltip="Федеральный закон от 17.09.1998 N 157-ФЗ (ред. от 02.07.2021) &quot;Об иммунопрофилактике инфекционных болезней&quot; {КонсультантПлюс}">
        <w:r>
          <w:rPr>
            <w:sz w:val="20"/>
            <w:color w:val="0000ff"/>
          </w:rPr>
          <w:t xml:space="preserve">закону</w:t>
        </w:r>
      </w:hyperlink>
      <w:r>
        <w:rPr>
          <w:sz w:val="20"/>
        </w:rPr>
        <w:t xml:space="preserve"> от 17 сентября 1998 года N 157-ФЗ "Об иммунопрофилактике инфекционных болезней" иностранные граждане и лица без гражданства, постоянно или временно проживающие на территории Российской Федерации, пользуются правами и имеют обязанности, которые установлены настоящим Федеральным законом.</w:t>
      </w:r>
    </w:p>
    <w:p>
      <w:pPr>
        <w:pStyle w:val="0"/>
        <w:spacing w:before="200" w:line-rule="auto"/>
        <w:ind w:firstLine="540"/>
        <w:jc w:val="both"/>
      </w:pPr>
      <w:r>
        <w:rPr>
          <w:sz w:val="20"/>
        </w:rPr>
        <w:t xml:space="preserve">6.1.11. Проведение профилактических прививок в условиях национального календаря прививок проводится бесплатно.</w:t>
      </w:r>
    </w:p>
    <w:p>
      <w:pPr>
        <w:pStyle w:val="0"/>
        <w:jc w:val="both"/>
      </w:pPr>
      <w:r>
        <w:rPr>
          <w:sz w:val="20"/>
        </w:rPr>
      </w:r>
    </w:p>
    <w:p>
      <w:pPr>
        <w:pStyle w:val="2"/>
        <w:outlineLvl w:val="2"/>
        <w:jc w:val="center"/>
      </w:pPr>
      <w:r>
        <w:rPr>
          <w:sz w:val="20"/>
        </w:rPr>
        <w:t xml:space="preserve">VII. Порядок предоставления участникам Государственной</w:t>
      </w:r>
    </w:p>
    <w:p>
      <w:pPr>
        <w:pStyle w:val="2"/>
        <w:jc w:val="center"/>
      </w:pPr>
      <w:r>
        <w:rPr>
          <w:sz w:val="20"/>
        </w:rPr>
        <w:t xml:space="preserve">программы компенсации расходов по найму жилья</w:t>
      </w:r>
    </w:p>
    <w:p>
      <w:pPr>
        <w:pStyle w:val="2"/>
        <w:jc w:val="center"/>
      </w:pPr>
      <w:r>
        <w:rPr>
          <w:sz w:val="20"/>
        </w:rPr>
        <w:t xml:space="preserve">(далее - компенсация расходов)</w:t>
      </w:r>
    </w:p>
    <w:p>
      <w:pPr>
        <w:pStyle w:val="0"/>
        <w:jc w:val="both"/>
      </w:pPr>
      <w:r>
        <w:rPr>
          <w:sz w:val="20"/>
        </w:rPr>
      </w:r>
    </w:p>
    <w:p>
      <w:pPr>
        <w:pStyle w:val="0"/>
        <w:ind w:firstLine="540"/>
        <w:jc w:val="both"/>
      </w:pPr>
      <w:r>
        <w:rPr>
          <w:sz w:val="20"/>
        </w:rPr>
        <w:t xml:space="preserve">7.1. Компенсация расходов участнику Государственной программы осуществляется в пределах средств, выделенных на реализацию Подпрограммы.</w:t>
      </w:r>
    </w:p>
    <w:p>
      <w:pPr>
        <w:pStyle w:val="0"/>
        <w:spacing w:before="200" w:line-rule="auto"/>
        <w:ind w:firstLine="540"/>
        <w:jc w:val="both"/>
      </w:pPr>
      <w:r>
        <w:rPr>
          <w:sz w:val="20"/>
        </w:rPr>
        <w:t xml:space="preserve">7.2. Компенсация расходов участнику Государственной программы осуществляется до приобретения собственного жилого помещения с момента его прибытия в муниципальное образование автономного округа, подтвержденного проездными документами, либо свидетельством участника Государственной программы (для соотечественников, прибывших на территорию Российской Федерации в экстренном массовом порядке и признанных беженцами на территории Российской Федерации или получивших временное убежище на территории Российской Федерации):</w:t>
      </w:r>
    </w:p>
    <w:p>
      <w:pPr>
        <w:pStyle w:val="0"/>
        <w:spacing w:before="200" w:line-rule="auto"/>
        <w:ind w:firstLine="540"/>
        <w:jc w:val="both"/>
      </w:pPr>
      <w:r>
        <w:rPr>
          <w:sz w:val="20"/>
        </w:rPr>
        <w:t xml:space="preserve">не более 10,0 тыс. рублей на период до 6 месяцев;</w:t>
      </w:r>
    </w:p>
    <w:p>
      <w:pPr>
        <w:pStyle w:val="0"/>
        <w:spacing w:before="200" w:line-rule="auto"/>
        <w:ind w:firstLine="540"/>
        <w:jc w:val="both"/>
      </w:pPr>
      <w:r>
        <w:rPr>
          <w:sz w:val="20"/>
        </w:rPr>
        <w:t xml:space="preserve">не более 20,0 тыс. рублей на период до 12 месяцев участнику Государственной программы, согласованному в соответствии с </w:t>
      </w:r>
      <w:hyperlink w:history="0" w:anchor="P1353" w:tooltip="3.2.2. Порядок согласования кандидатуры потенциального участника Государственной программы:">
        <w:r>
          <w:rPr>
            <w:sz w:val="20"/>
            <w:color w:val="0000ff"/>
          </w:rPr>
          <w:t xml:space="preserve">подпунктом 3.2.2 пункта 3.2</w:t>
        </w:r>
      </w:hyperlink>
      <w:r>
        <w:rPr>
          <w:sz w:val="20"/>
        </w:rPr>
        <w:t xml:space="preserve"> Порядка и трудоустроенному на вакансию высококвалифицированного специалиста.</w:t>
      </w:r>
    </w:p>
    <w:p>
      <w:pPr>
        <w:pStyle w:val="0"/>
        <w:jc w:val="both"/>
      </w:pPr>
      <w:r>
        <w:rPr>
          <w:sz w:val="20"/>
        </w:rPr>
        <w:t xml:space="preserve">(в ред. </w:t>
      </w:r>
      <w:hyperlink w:history="0" r:id="rId14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В случае отсутствия проездных документов, подтверждающих прибытие участника Государственной программы в муниципальное образование автономного округа, датой его прибытия считается дата регистрации в Управлении.</w:t>
      </w:r>
    </w:p>
    <w:p>
      <w:pPr>
        <w:pStyle w:val="0"/>
        <w:spacing w:before="200" w:line-rule="auto"/>
        <w:ind w:firstLine="540"/>
        <w:jc w:val="both"/>
      </w:pPr>
      <w:r>
        <w:rPr>
          <w:sz w:val="20"/>
        </w:rPr>
        <w:t xml:space="preserve">7.3. Компенсация расходов осуществляется не позднее последнего дня каждого месяца, следующего за отчетным, по фактически подтвержденным участником Государственной программы расходам:</w:t>
      </w:r>
    </w:p>
    <w:p>
      <w:pPr>
        <w:pStyle w:val="0"/>
        <w:spacing w:before="200" w:line-rule="auto"/>
        <w:ind w:firstLine="540"/>
        <w:jc w:val="both"/>
      </w:pPr>
      <w:r>
        <w:rPr>
          <w:sz w:val="20"/>
        </w:rPr>
        <w:t xml:space="preserve">но не более 10 тыс. рублей на его семью;</w:t>
      </w:r>
    </w:p>
    <w:p>
      <w:pPr>
        <w:pStyle w:val="0"/>
        <w:spacing w:before="200" w:line-rule="auto"/>
        <w:ind w:firstLine="540"/>
        <w:jc w:val="both"/>
      </w:pPr>
      <w:r>
        <w:rPr>
          <w:sz w:val="20"/>
        </w:rPr>
        <w:t xml:space="preserve">не более 20,0 тыс. рублей на семью участника Государственной программы, согласованному в соответствии с </w:t>
      </w:r>
      <w:hyperlink w:history="0" w:anchor="P1353" w:tooltip="3.2.2. Порядок согласования кандидатуры потенциального участника Государственной программы:">
        <w:r>
          <w:rPr>
            <w:sz w:val="20"/>
            <w:color w:val="0000ff"/>
          </w:rPr>
          <w:t xml:space="preserve">подпунктом 3.2.2 пункта 3.2</w:t>
        </w:r>
      </w:hyperlink>
      <w:r>
        <w:rPr>
          <w:sz w:val="20"/>
        </w:rPr>
        <w:t xml:space="preserve"> Порядка и трудоустроенному на вакансию высококвалифицированного специалиста.</w:t>
      </w:r>
    </w:p>
    <w:p>
      <w:pPr>
        <w:pStyle w:val="0"/>
        <w:jc w:val="both"/>
      </w:pPr>
      <w:r>
        <w:rPr>
          <w:sz w:val="20"/>
        </w:rPr>
        <w:t xml:space="preserve">(в ред. </w:t>
      </w:r>
      <w:hyperlink w:history="0" r:id="rId150"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7.4. В случае полного расходования средств, предусмотренных Подпрограммой на компенсацию расходов, в текущем (календарном) году с учетом принятых обязательств участнику Государственной программы предлагается переселение без предоставления компенсации расходов по найму жилья, что отражается в решении Уполномоченного органа Югры о согласовании кандидатуры соотечественника для участия в Государственной программе.</w:t>
      </w:r>
    </w:p>
    <w:p>
      <w:pPr>
        <w:pStyle w:val="0"/>
        <w:spacing w:before="200" w:line-rule="auto"/>
        <w:ind w:firstLine="540"/>
        <w:jc w:val="both"/>
      </w:pPr>
      <w:r>
        <w:rPr>
          <w:sz w:val="20"/>
        </w:rPr>
        <w:t xml:space="preserve">Информацию о предоставлении (отказе в предоставлении) компенсации расходов Управление указывает в уведомлении о выдаче свидетельства участника Государственной программы в соответствии с формой, предусмотренной Административным </w:t>
      </w:r>
      <w:hyperlink w:history="0" r:id="rId151" w:tooltip="Приказ МВД России от 12.03.2020 N 134 &quo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quot; (Зарегистрировано в Минюсте России 26.08.2020 N 59468) {КонсультантПлюс}">
        <w:r>
          <w:rPr>
            <w:sz w:val="20"/>
            <w:color w:val="0000ff"/>
          </w:rPr>
          <w:t xml:space="preserve">регламентом</w:t>
        </w:r>
      </w:hyperlink>
      <w:r>
        <w:rPr>
          <w:sz w:val="20"/>
        </w:rPr>
        <w:t xml:space="preserve">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Министерства внутренних дел России от 12 марта 2020 года N 134.</w:t>
      </w:r>
    </w:p>
    <w:p>
      <w:pPr>
        <w:pStyle w:val="0"/>
        <w:spacing w:before="200" w:line-rule="auto"/>
        <w:ind w:firstLine="540"/>
        <w:jc w:val="both"/>
      </w:pPr>
      <w:r>
        <w:rPr>
          <w:sz w:val="20"/>
        </w:rPr>
        <w:t xml:space="preserve">7.5. Участнику Государственной программы компенсируются расходы по оплате найма жилья в отношении жилых помещений, отвечающих установленным санитарным и техническим правилам и нормам, пригодных для проживания.</w:t>
      </w:r>
    </w:p>
    <w:p>
      <w:pPr>
        <w:pStyle w:val="0"/>
        <w:spacing w:before="200" w:line-rule="auto"/>
        <w:ind w:firstLine="540"/>
        <w:jc w:val="both"/>
      </w:pPr>
      <w:r>
        <w:rPr>
          <w:sz w:val="20"/>
        </w:rPr>
        <w:t xml:space="preserve">7.6. Для получения компенсации расходов участник Государственной программы (либо уполномоченное им в установленном законодательством Российской Федерации порядке лицо) в течение 5 рабочих дней месяца, следующего за месяцем фактического проживания, представляет в центр занятости населения следующие документы:</w:t>
      </w:r>
    </w:p>
    <w:bookmarkStart w:id="1492" w:name="P1492"/>
    <w:bookmarkEnd w:id="1492"/>
    <w:p>
      <w:pPr>
        <w:pStyle w:val="0"/>
        <w:spacing w:before="200" w:line-rule="auto"/>
        <w:ind w:firstLine="540"/>
        <w:jc w:val="both"/>
      </w:pPr>
      <w:r>
        <w:rPr>
          <w:sz w:val="20"/>
        </w:rPr>
        <w:t xml:space="preserve">7.6.1. При первичном обращении (за первый месяц фактического проживания):</w:t>
      </w:r>
    </w:p>
    <w:p>
      <w:pPr>
        <w:pStyle w:val="0"/>
        <w:spacing w:before="200" w:line-rule="auto"/>
        <w:ind w:firstLine="540"/>
        <w:jc w:val="both"/>
      </w:pPr>
      <w:r>
        <w:rPr>
          <w:sz w:val="20"/>
        </w:rPr>
        <w:t xml:space="preserve">заявление о предоставлении компенсации расходов (на русском языке) по установленной Уполномоченным органом Югры форме;</w:t>
      </w:r>
    </w:p>
    <w:p>
      <w:pPr>
        <w:pStyle w:val="0"/>
        <w:spacing w:before="200" w:line-rule="auto"/>
        <w:ind w:firstLine="540"/>
        <w:jc w:val="both"/>
      </w:pPr>
      <w:r>
        <w:rPr>
          <w:sz w:val="20"/>
        </w:rPr>
        <w:t xml:space="preserve">копию документа, удостоверяющего личность (с предъявлением оригинала);</w:t>
      </w:r>
    </w:p>
    <w:p>
      <w:pPr>
        <w:pStyle w:val="0"/>
        <w:spacing w:before="200" w:line-rule="auto"/>
        <w:ind w:firstLine="540"/>
        <w:jc w:val="both"/>
      </w:pPr>
      <w:r>
        <w:rPr>
          <w:sz w:val="20"/>
        </w:rPr>
        <w:t xml:space="preserve">копию свидетельства участника Государственной программы установленного образца (с предъявлением оригинала);</w:t>
      </w:r>
    </w:p>
    <w:bookmarkStart w:id="1496" w:name="P1496"/>
    <w:bookmarkEnd w:id="1496"/>
    <w:p>
      <w:pPr>
        <w:pStyle w:val="0"/>
        <w:spacing w:before="200" w:line-rule="auto"/>
        <w:ind w:firstLine="540"/>
        <w:jc w:val="both"/>
      </w:pPr>
      <w:r>
        <w:rPr>
          <w:sz w:val="20"/>
        </w:rPr>
        <w:t xml:space="preserve">копию договора найма жилого помещения (с предъявлением оригинала);</w:t>
      </w:r>
    </w:p>
    <w:bookmarkStart w:id="1497" w:name="P1497"/>
    <w:bookmarkEnd w:id="1497"/>
    <w:p>
      <w:pPr>
        <w:pStyle w:val="0"/>
        <w:spacing w:before="200" w:line-rule="auto"/>
        <w:ind w:firstLine="540"/>
        <w:jc w:val="both"/>
      </w:pPr>
      <w:r>
        <w:rPr>
          <w:sz w:val="20"/>
        </w:rPr>
        <w:t xml:space="preserve">авансовый отчет с приложением копий документов (с предъявлением оригинала), подтверждающих расходы по оплате проживания (счет-фактура, квитанция, иной документ, подтверждающий получение наймодателем денежных средств от участника Государственной программы);</w:t>
      </w:r>
    </w:p>
    <w:p>
      <w:pPr>
        <w:pStyle w:val="0"/>
        <w:spacing w:before="200" w:line-rule="auto"/>
        <w:ind w:firstLine="540"/>
        <w:jc w:val="both"/>
      </w:pPr>
      <w:r>
        <w:rPr>
          <w:sz w:val="20"/>
        </w:rPr>
        <w:t xml:space="preserve">проездные документы, подтверждающие прибытие участника Государственной программы в муниципальное образование автономного округа (при наличии);</w:t>
      </w:r>
    </w:p>
    <w:bookmarkStart w:id="1499" w:name="P1499"/>
    <w:bookmarkEnd w:id="1499"/>
    <w:p>
      <w:pPr>
        <w:pStyle w:val="0"/>
        <w:spacing w:before="200" w:line-rule="auto"/>
        <w:ind w:firstLine="540"/>
        <w:jc w:val="both"/>
      </w:pPr>
      <w:r>
        <w:rPr>
          <w:sz w:val="20"/>
        </w:rPr>
        <w:t xml:space="preserve">документы, подтверждающие постановку на миграционный учет (регистрацию по месту жительства либо постановку на учет по месту пребывания) участника Государственной программы в структурном подразделении Управления в муниципальном образовании автономного округа;</w:t>
      </w:r>
    </w:p>
    <w:bookmarkStart w:id="1500" w:name="P1500"/>
    <w:bookmarkEnd w:id="1500"/>
    <w:p>
      <w:pPr>
        <w:pStyle w:val="0"/>
        <w:spacing w:before="200" w:line-rule="auto"/>
        <w:ind w:firstLine="540"/>
        <w:jc w:val="both"/>
      </w:pPr>
      <w:r>
        <w:rPr>
          <w:sz w:val="20"/>
        </w:rPr>
        <w:t xml:space="preserve">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p>
      <w:pPr>
        <w:pStyle w:val="0"/>
        <w:spacing w:before="200" w:line-rule="auto"/>
        <w:ind w:firstLine="540"/>
        <w:jc w:val="both"/>
      </w:pPr>
      <w:r>
        <w:rPr>
          <w:sz w:val="20"/>
        </w:rPr>
        <w:t xml:space="preserve">трудовой договор, заверенный работодателем, подтверждающий осуществление участником Государственной программы трудовой деятельности на рабочем месте высококвалифицированного специалиста (далее - трудовой договор) (для получения компенсации в размере не более 20,0 тыс. рублей).</w:t>
      </w:r>
    </w:p>
    <w:p>
      <w:pPr>
        <w:pStyle w:val="0"/>
        <w:spacing w:before="200" w:line-rule="auto"/>
        <w:ind w:firstLine="540"/>
        <w:jc w:val="both"/>
      </w:pPr>
      <w:r>
        <w:rPr>
          <w:sz w:val="20"/>
        </w:rPr>
        <w:t xml:space="preserve">В случае если участник Государственной программы не представил трудовой договор, ему компенсируются фактические расходы по найму жилья, но не более 10,0 тыс. рублей на семью на период не более 6 месяцев.</w:t>
      </w:r>
    </w:p>
    <w:p>
      <w:pPr>
        <w:pStyle w:val="0"/>
        <w:spacing w:before="200" w:line-rule="auto"/>
        <w:ind w:firstLine="540"/>
        <w:jc w:val="both"/>
      </w:pPr>
      <w:r>
        <w:rPr>
          <w:sz w:val="20"/>
        </w:rPr>
        <w:t xml:space="preserve">Компенсация расходов будет продолжена в размере не более 20,0 тыс. рублей при представлении участником Государственной программы трудового договора не позднее 5 рабочих дней месяца, следующего за месяцем фактического проживания.</w:t>
      </w:r>
    </w:p>
    <w:p>
      <w:pPr>
        <w:pStyle w:val="0"/>
        <w:spacing w:before="200" w:line-rule="auto"/>
        <w:ind w:firstLine="540"/>
        <w:jc w:val="both"/>
      </w:pPr>
      <w:r>
        <w:rPr>
          <w:sz w:val="20"/>
        </w:rPr>
        <w:t xml:space="preserve">Общий период выплат не может превышать 12 месяцев с учетом периода компенсации в размере не более 10,0 тыс. рублей.</w:t>
      </w:r>
    </w:p>
    <w:p>
      <w:pPr>
        <w:pStyle w:val="0"/>
        <w:spacing w:before="200" w:line-rule="auto"/>
        <w:ind w:firstLine="540"/>
        <w:jc w:val="both"/>
      </w:pPr>
      <w:r>
        <w:rPr>
          <w:sz w:val="20"/>
        </w:rPr>
        <w:t xml:space="preserve">7.6.2. При последующем обращении (ежемесячно, за второй, третий, четвертый, пятый и шестой месяцы за каждый последующий месяц фактического проживания) - документы, указанные в </w:t>
      </w:r>
      <w:hyperlink w:history="0" w:anchor="P1496" w:tooltip="копию договора найма жилого помещения (с предъявлением оригинала);">
        <w:r>
          <w:rPr>
            <w:sz w:val="20"/>
            <w:color w:val="0000ff"/>
          </w:rPr>
          <w:t xml:space="preserve">абзацах: пятом</w:t>
        </w:r>
      </w:hyperlink>
      <w:r>
        <w:rPr>
          <w:sz w:val="20"/>
        </w:rPr>
        <w:t xml:space="preserve">, </w:t>
      </w:r>
      <w:hyperlink w:history="0" w:anchor="P1497" w:tooltip="авансовый отчет с приложением копий документов (с предъявлением оригинала), подтверждающих расходы по оплате проживания (счет-фактура, квитанция, иной документ, подтверждающий получение наймодателем денежных средств от участника Государственной программы);">
        <w:r>
          <w:rPr>
            <w:sz w:val="20"/>
            <w:color w:val="0000ff"/>
          </w:rPr>
          <w:t xml:space="preserve">шестом</w:t>
        </w:r>
      </w:hyperlink>
      <w:r>
        <w:rPr>
          <w:sz w:val="20"/>
        </w:rPr>
        <w:t xml:space="preserve">, </w:t>
      </w:r>
      <w:hyperlink w:history="0" w:anchor="P1499" w:tooltip="документы, подтверждающие постановку на миграционный учет (регистрацию по месту жительства либо постановку на учет по месту пребывания) участника Государственной программы в структурном подразделении Управления в муниципальном образовании автономного округа;">
        <w:r>
          <w:rPr>
            <w:sz w:val="20"/>
            <w:color w:val="0000ff"/>
          </w:rPr>
          <w:t xml:space="preserve">восьмом</w:t>
        </w:r>
      </w:hyperlink>
      <w:r>
        <w:rPr>
          <w:sz w:val="20"/>
        </w:rPr>
        <w:t xml:space="preserve">, </w:t>
      </w:r>
      <w:hyperlink w:history="0" w:anchor="P1500" w:tooltip="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
        <w:r>
          <w:rPr>
            <w:sz w:val="20"/>
            <w:color w:val="0000ff"/>
          </w:rPr>
          <w:t xml:space="preserve">девятом подпункта 7.6.1 пункта 7.6</w:t>
        </w:r>
      </w:hyperlink>
      <w:r>
        <w:rPr>
          <w:sz w:val="20"/>
        </w:rPr>
        <w:t xml:space="preserve"> Порядка и ежемесячно - справку с места работы о подтверждении трудовой деятельности в соответствии с трудовым договором (для получения компенсации в размере не более 20,0 тыс. рублей).</w:t>
      </w:r>
    </w:p>
    <w:p>
      <w:pPr>
        <w:pStyle w:val="0"/>
        <w:spacing w:before="200" w:line-rule="auto"/>
        <w:ind w:firstLine="540"/>
        <w:jc w:val="both"/>
      </w:pPr>
      <w:r>
        <w:rPr>
          <w:sz w:val="20"/>
        </w:rPr>
        <w:t xml:space="preserve">7.6.3. Основаниями для отказа участнику Государственной программы центром занятости населения в приеме документов для получения компенсации расходов являются:</w:t>
      </w:r>
    </w:p>
    <w:p>
      <w:pPr>
        <w:pStyle w:val="0"/>
        <w:spacing w:before="200" w:line-rule="auto"/>
        <w:ind w:firstLine="540"/>
        <w:jc w:val="both"/>
      </w:pPr>
      <w:r>
        <w:rPr>
          <w:sz w:val="20"/>
        </w:rPr>
        <w:t xml:space="preserve">представление не в полном объеме документов, указанных в </w:t>
      </w:r>
      <w:hyperlink w:history="0" w:anchor="P1492" w:tooltip="7.6.1. При первичном обращении (за первый месяц фактического проживания):">
        <w:r>
          <w:rPr>
            <w:sz w:val="20"/>
            <w:color w:val="0000ff"/>
          </w:rPr>
          <w:t xml:space="preserve">подпункте 7.6.1 пункта 7.6</w:t>
        </w:r>
      </w:hyperlink>
      <w:r>
        <w:rPr>
          <w:sz w:val="20"/>
        </w:rPr>
        <w:t xml:space="preserve"> Порядка;</w:t>
      </w:r>
    </w:p>
    <w:p>
      <w:pPr>
        <w:pStyle w:val="0"/>
        <w:spacing w:before="200" w:line-rule="auto"/>
        <w:ind w:firstLine="540"/>
        <w:jc w:val="both"/>
      </w:pPr>
      <w:r>
        <w:rPr>
          <w:sz w:val="20"/>
        </w:rPr>
        <w:t xml:space="preserve">представление документов, указанных в </w:t>
      </w:r>
      <w:hyperlink w:history="0" w:anchor="P1492" w:tooltip="7.6.1. При первичном обращении (за первый месяц фактического проживания):">
        <w:r>
          <w:rPr>
            <w:sz w:val="20"/>
            <w:color w:val="0000ff"/>
          </w:rPr>
          <w:t xml:space="preserve">подпункте 7.6.1 пункта 7.6</w:t>
        </w:r>
      </w:hyperlink>
      <w:r>
        <w:rPr>
          <w:sz w:val="20"/>
        </w:rPr>
        <w:t xml:space="preserve"> Порядка, при первичном обращении по истечении 5 рабочих дней месяца, следующего за шестым месяцем с даты регистрации по месту жительства либо постановки на учет по месту пребывания участника Государственной программы в подразделении Управления в муниципальном образовании автономного округа;</w:t>
      </w:r>
    </w:p>
    <w:p>
      <w:pPr>
        <w:pStyle w:val="0"/>
        <w:spacing w:before="200" w:line-rule="auto"/>
        <w:ind w:firstLine="540"/>
        <w:jc w:val="both"/>
      </w:pPr>
      <w:r>
        <w:rPr>
          <w:sz w:val="20"/>
        </w:rPr>
        <w:t xml:space="preserve">несоответствие регистрации по месту жительства (либо постановки на миграционный учет по месту пребывания) участника Государственной программы адресу, указанному в договоре найма жилого помещения.</w:t>
      </w:r>
    </w:p>
    <w:bookmarkStart w:id="1510" w:name="P1510"/>
    <w:bookmarkEnd w:id="1510"/>
    <w:p>
      <w:pPr>
        <w:pStyle w:val="0"/>
        <w:spacing w:before="200" w:line-rule="auto"/>
        <w:ind w:firstLine="540"/>
        <w:jc w:val="both"/>
      </w:pPr>
      <w:r>
        <w:rPr>
          <w:sz w:val="20"/>
        </w:rPr>
        <w:t xml:space="preserve">7.7. По результатам рассмотрения документов, предусмотренных </w:t>
      </w:r>
      <w:hyperlink w:history="0" w:anchor="P1492" w:tooltip="7.6.1. При первичном обращении (за первый месяц фактического проживания):">
        <w:r>
          <w:rPr>
            <w:sz w:val="20"/>
            <w:color w:val="0000ff"/>
          </w:rPr>
          <w:t xml:space="preserve">подпунктом 7.6.1 пункта 7.6</w:t>
        </w:r>
      </w:hyperlink>
      <w:r>
        <w:rPr>
          <w:sz w:val="20"/>
        </w:rPr>
        <w:t xml:space="preserve"> Порядка, центр занятости населения не позднее последнего дня месяца, следующего за месяцем фактического проживания, принимает решение о предоставлении компенсации расходов либо об отказе в ее предоставлении, оформляя его своим приказом.</w:t>
      </w:r>
    </w:p>
    <w:p>
      <w:pPr>
        <w:pStyle w:val="0"/>
        <w:spacing w:before="200" w:line-rule="auto"/>
        <w:ind w:firstLine="540"/>
        <w:jc w:val="both"/>
      </w:pPr>
      <w:r>
        <w:rPr>
          <w:sz w:val="20"/>
        </w:rPr>
        <w:t xml:space="preserve">В случае принятия решения о предоставлении компенсации расходов в течение срока, указанного в </w:t>
      </w:r>
      <w:hyperlink w:history="0" w:anchor="P1510" w:tooltip="7.7. По результатам рассмотрения документов, предусмотренных подпунктом 7.6.1 пункта 7.6 Порядка, центр занятости населения не позднее последнего дня месяца, следующего за месяцем фактического проживания, принимает решение о предоставлении компенсации расходов либо об отказе в ее предоставлении, оформляя его своим приказом.">
        <w:r>
          <w:rPr>
            <w:sz w:val="20"/>
            <w:color w:val="0000ff"/>
          </w:rPr>
          <w:t xml:space="preserve">абзаце первом</w:t>
        </w:r>
      </w:hyperlink>
      <w:r>
        <w:rPr>
          <w:sz w:val="20"/>
        </w:rPr>
        <w:t xml:space="preserve"> настоящего пункта, центр занятости населения перечисляет компенсацию расходов участнику Государственной программы на лицевой счет, открытый им в кредитных учреждениях Российской Федерации, или через отделения почтовой связи по адресу его проживания в Российской Федерации (почтовым переводом).</w:t>
      </w:r>
    </w:p>
    <w:p>
      <w:pPr>
        <w:pStyle w:val="0"/>
        <w:spacing w:before="200" w:line-rule="auto"/>
        <w:ind w:firstLine="540"/>
        <w:jc w:val="both"/>
      </w:pPr>
      <w:r>
        <w:rPr>
          <w:sz w:val="20"/>
        </w:rPr>
        <w:t xml:space="preserve">Расходы на оплату банковских услуг, связанных с перечислением компенсации расходов, осуществляются за счет средств, выделенных на реализацию соответствующего мероприятия Подпрограммы.</w:t>
      </w:r>
    </w:p>
    <w:bookmarkStart w:id="1513" w:name="P1513"/>
    <w:bookmarkEnd w:id="1513"/>
    <w:p>
      <w:pPr>
        <w:pStyle w:val="0"/>
        <w:spacing w:before="200" w:line-rule="auto"/>
        <w:ind w:firstLine="540"/>
        <w:jc w:val="both"/>
      </w:pPr>
      <w:r>
        <w:rPr>
          <w:sz w:val="20"/>
        </w:rPr>
        <w:t xml:space="preserve">7.8. Основаниями для отказа в предоставлении компенсации расходов (ее прекращении) являются:</w:t>
      </w:r>
    </w:p>
    <w:p>
      <w:pPr>
        <w:pStyle w:val="0"/>
        <w:spacing w:before="200" w:line-rule="auto"/>
        <w:ind w:firstLine="540"/>
        <w:jc w:val="both"/>
      </w:pPr>
      <w:r>
        <w:rPr>
          <w:sz w:val="20"/>
        </w:rPr>
        <w:t xml:space="preserve">наличие у участника Государственной программы права постоянного и временного проживания в Российской Федерации (вид на жительство, разрешение на временное проживание) на момент получения свидетельства участника Государственной программы;</w:t>
      </w:r>
    </w:p>
    <w:p>
      <w:pPr>
        <w:pStyle w:val="0"/>
        <w:spacing w:before="200" w:line-rule="auto"/>
        <w:ind w:firstLine="540"/>
        <w:jc w:val="both"/>
      </w:pPr>
      <w:r>
        <w:rPr>
          <w:sz w:val="20"/>
        </w:rPr>
        <w:t xml:space="preserve">представление участником Государственной программы документов, содержащих недостоверные сведения;</w:t>
      </w:r>
    </w:p>
    <w:p>
      <w:pPr>
        <w:pStyle w:val="0"/>
        <w:spacing w:before="200" w:line-rule="auto"/>
        <w:ind w:firstLine="540"/>
        <w:jc w:val="both"/>
      </w:pPr>
      <w:r>
        <w:rPr>
          <w:sz w:val="20"/>
        </w:rPr>
        <w:t xml:space="preserve">истечение 6 месяцев со дня прибытия в муниципальное образование автономного округа участника Государственной программы либо даты получения в Управлении свидетельства участника Государственной программы (для соотечественников,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pPr>
        <w:pStyle w:val="0"/>
        <w:spacing w:before="200" w:line-rule="auto"/>
        <w:ind w:firstLine="540"/>
        <w:jc w:val="both"/>
      </w:pPr>
      <w:r>
        <w:rPr>
          <w:sz w:val="20"/>
        </w:rPr>
        <w:t xml:space="preserve">истечение 12 месяцев со дня прибытия в муниципальное образование автономного округа участника Государственной программы, кандидатура которого согласована в соответствии с </w:t>
      </w:r>
      <w:hyperlink w:history="0" w:anchor="P1353" w:tooltip="3.2.2. Порядок согласования кандидатуры потенциального участника Государственной программы:">
        <w:r>
          <w:rPr>
            <w:sz w:val="20"/>
            <w:color w:val="0000ff"/>
          </w:rPr>
          <w:t xml:space="preserve">подпунктом 3.2.2 пункта 3.2</w:t>
        </w:r>
      </w:hyperlink>
      <w:r>
        <w:rPr>
          <w:sz w:val="20"/>
        </w:rPr>
        <w:t xml:space="preserve"> Порядка, трудоустроенного на вакансию высококвалифицированного специалиста;</w:t>
      </w:r>
    </w:p>
    <w:p>
      <w:pPr>
        <w:pStyle w:val="0"/>
        <w:jc w:val="both"/>
      </w:pPr>
      <w:r>
        <w:rPr>
          <w:sz w:val="20"/>
        </w:rPr>
        <w:t xml:space="preserve">(в ред. </w:t>
      </w:r>
      <w:hyperlink w:history="0" r:id="rId152"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переезд из одного муниципального образования автономного округа в другое муниципальное образование автономного округа или за пределы автономного округа без уважительной причины;</w:t>
      </w:r>
    </w:p>
    <w:p>
      <w:pPr>
        <w:pStyle w:val="0"/>
        <w:spacing w:before="200" w:line-rule="auto"/>
        <w:ind w:firstLine="540"/>
        <w:jc w:val="both"/>
      </w:pPr>
      <w:r>
        <w:rPr>
          <w:sz w:val="20"/>
        </w:rPr>
        <w:t xml:space="preserve">расторжение договора найма жилого помещения;</w:t>
      </w:r>
    </w:p>
    <w:p>
      <w:pPr>
        <w:pStyle w:val="0"/>
        <w:spacing w:before="200" w:line-rule="auto"/>
        <w:ind w:firstLine="540"/>
        <w:jc w:val="both"/>
      </w:pPr>
      <w:r>
        <w:rPr>
          <w:sz w:val="20"/>
        </w:rPr>
        <w:t xml:space="preserve">наличие в собственности у участника Государственной программы, членов его семьи жилого помещения в автономном округе;</w:t>
      </w:r>
    </w:p>
    <w:p>
      <w:pPr>
        <w:pStyle w:val="0"/>
        <w:spacing w:before="200" w:line-rule="auto"/>
        <w:ind w:firstLine="540"/>
        <w:jc w:val="both"/>
      </w:pPr>
      <w:r>
        <w:rPr>
          <w:sz w:val="20"/>
        </w:rPr>
        <w:t xml:space="preserve">полное расходование средств, предусмотренных Подпрограммой на компенсацию расходов в текущем (календарном) году, с учетом принятых обязательств.</w:t>
      </w:r>
    </w:p>
    <w:p>
      <w:pPr>
        <w:pStyle w:val="0"/>
        <w:spacing w:before="200" w:line-rule="auto"/>
        <w:ind w:firstLine="540"/>
        <w:jc w:val="both"/>
      </w:pPr>
      <w:r>
        <w:rPr>
          <w:sz w:val="20"/>
        </w:rPr>
        <w:t xml:space="preserve">7.9. Наличие в собственности участника Государственной программы, членов его семьи жилого помещения в автономном округе выявляет центр занятости населения в порядке межведомственного информационного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7.10. Центр занятости населения уведомляет участника Государственной программы об отказе в предоставлении компенсации расходов (ее прекращении) в течение 10 рабочих дней со дня принятия такого решения.</w:t>
      </w:r>
    </w:p>
    <w:p>
      <w:pPr>
        <w:pStyle w:val="0"/>
        <w:spacing w:before="200" w:line-rule="auto"/>
        <w:ind w:firstLine="540"/>
        <w:jc w:val="both"/>
      </w:pPr>
      <w:r>
        <w:rPr>
          <w:sz w:val="20"/>
        </w:rPr>
        <w:t xml:space="preserve">В случае недостаточности средств в текущем (календарном) году на реализацию соответствующего мероприятия Подпрограммы решение об отказе в предоставлении компенсации расходов принимает Уполномоченный орган, уведомляя об этом центр занятости населения.</w:t>
      </w:r>
    </w:p>
    <w:p>
      <w:pPr>
        <w:pStyle w:val="0"/>
        <w:spacing w:before="200" w:line-rule="auto"/>
        <w:ind w:firstLine="540"/>
        <w:jc w:val="both"/>
      </w:pPr>
      <w:r>
        <w:rPr>
          <w:sz w:val="20"/>
        </w:rPr>
        <w:t xml:space="preserve">7.11. Компенсация расходов прекращается со дня, следующего за днем, в котором наступили обстоятельства, указанные в </w:t>
      </w:r>
      <w:hyperlink w:history="0" w:anchor="P1513" w:tooltip="7.8. Основаниями для отказа в предоставлении компенсации расходов (ее прекращении) являются:">
        <w:r>
          <w:rPr>
            <w:sz w:val="20"/>
            <w:color w:val="0000ff"/>
          </w:rPr>
          <w:t xml:space="preserve">пункте 7.8</w:t>
        </w:r>
      </w:hyperlink>
      <w:r>
        <w:rPr>
          <w:sz w:val="20"/>
        </w:rPr>
        <w:t xml:space="preserve"> Порядка.</w:t>
      </w:r>
    </w:p>
    <w:bookmarkStart w:id="1527" w:name="P1527"/>
    <w:bookmarkEnd w:id="1527"/>
    <w:p>
      <w:pPr>
        <w:pStyle w:val="0"/>
        <w:spacing w:before="200" w:line-rule="auto"/>
        <w:ind w:firstLine="540"/>
        <w:jc w:val="both"/>
      </w:pPr>
      <w:r>
        <w:rPr>
          <w:sz w:val="20"/>
        </w:rPr>
        <w:t xml:space="preserve">7.12. К уважительным причинам, согласно которым участник Государственной программы может осуществить переезд из одного муниципального образования автономного округа в другое или за пределы автономного округа, относится увольнение участника Государственной программы в результате сокращения численности или штата работников организации либо в результате ликвидации организации.</w:t>
      </w:r>
    </w:p>
    <w:p>
      <w:pPr>
        <w:pStyle w:val="0"/>
        <w:spacing w:before="200" w:line-rule="auto"/>
        <w:ind w:firstLine="540"/>
        <w:jc w:val="both"/>
      </w:pPr>
      <w:r>
        <w:rPr>
          <w:sz w:val="20"/>
        </w:rPr>
        <w:t xml:space="preserve">7.13. В случае переезда участника Государственной программы из одного муниципального образования автономного округа в другое муниципальное образование автономного округа по уважительным причинам, указанным в </w:t>
      </w:r>
      <w:hyperlink w:history="0" w:anchor="P1527" w:tooltip="7.12. К уважительным причинам, согласно которым участник Государственной программы может осуществить переезд из одного муниципального образования автономного округа в другое или за пределы автономного округа, относится увольнение участника Государственной программы в результате сокращения численности или штата работников организации либо в результате ликвидации организации.">
        <w:r>
          <w:rPr>
            <w:sz w:val="20"/>
            <w:color w:val="0000ff"/>
          </w:rPr>
          <w:t xml:space="preserve">пункте 7.12</w:t>
        </w:r>
      </w:hyperlink>
      <w:r>
        <w:rPr>
          <w:sz w:val="20"/>
        </w:rPr>
        <w:t xml:space="preserve">, </w:t>
      </w:r>
      <w:hyperlink w:history="0" w:anchor="P1375" w:tooltip="3.2.2.12. В случае заполнения вакансий, предложенных участнику Государственной программы на этапе согласования его кандидатуры для участия в Государственной программе, по его прибытию в муниципальное образование центр занятости населения подбирает ему новое рабочее место либо предлагает ему самостоятельное трудоустройство путем прямого обращения к работодателю.">
        <w:r>
          <w:rPr>
            <w:sz w:val="20"/>
            <w:color w:val="0000ff"/>
          </w:rPr>
          <w:t xml:space="preserve">подпункте 3.2.2.12 пункта 3.2</w:t>
        </w:r>
      </w:hyperlink>
      <w:r>
        <w:rPr>
          <w:sz w:val="20"/>
        </w:rPr>
        <w:t xml:space="preserve"> Порядка, компенсация расходов возобновляется, начиная со дня прибытия в другое муниципальное образование автономного округа, и выплачивается в течение периода, недостающего до 6 месяцев, либо до момента приобретения им собственного жилого помещения.</w:t>
      </w:r>
    </w:p>
    <w:p>
      <w:pPr>
        <w:pStyle w:val="0"/>
        <w:spacing w:before="200" w:line-rule="auto"/>
        <w:ind w:firstLine="540"/>
        <w:jc w:val="both"/>
      </w:pPr>
      <w:r>
        <w:rPr>
          <w:sz w:val="20"/>
        </w:rPr>
        <w:t xml:space="preserve">7.14. Утрата статуса участника Государственной программы или статуса члена семьи участника Государственной программы (по основаниям, предусмотренным Государственной программой РФ, за исключением случая, указанного в </w:t>
      </w:r>
      <w:hyperlink w:history="0" r:id="rId153"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пункте 18</w:t>
        </w:r>
      </w:hyperlink>
      <w:r>
        <w:rPr>
          <w:sz w:val="20"/>
        </w:rPr>
        <w:t xml:space="preserve"> Государственной программы РФ), добровольный отказ от соответствующего статуса либо выезд участника Государственной программы или члена его семьи на постоянное место жительства из автономного округа ранее чем через три года со дня постановки на учет в качестве участника Государственной программы или члена его семьи в Управлении (далее - соотечественники, утратившие статус участника Государственной программы) влечет за собой взыскание компенсации расходов в установленном законодательством Российской Федерации порядке.</w:t>
      </w:r>
    </w:p>
    <w:p>
      <w:pPr>
        <w:pStyle w:val="0"/>
        <w:spacing w:before="200" w:line-rule="auto"/>
        <w:ind w:firstLine="540"/>
        <w:jc w:val="both"/>
      </w:pPr>
      <w:r>
        <w:rPr>
          <w:sz w:val="20"/>
        </w:rPr>
        <w:t xml:space="preserve">Управление в течение 10 рабочих дней с даты принятия соответствующего решения представляет в Уполномоченный орган Югры информацию о соотечественниках, утративших статус участника Государственной программы, с указанием даты снятия их с учета.</w:t>
      </w:r>
    </w:p>
    <w:p>
      <w:pPr>
        <w:pStyle w:val="0"/>
        <w:spacing w:before="200" w:line-rule="auto"/>
        <w:ind w:firstLine="540"/>
        <w:jc w:val="both"/>
      </w:pPr>
      <w:r>
        <w:rPr>
          <w:sz w:val="20"/>
        </w:rPr>
        <w:t xml:space="preserve">В случае смерти, признания в установленном порядке безвестно отсутствующим или объявления умершим участника Государственной программы или члена его семьи понесенные государством затраты, связанные с предоставлением участнику Государственной программы или члену его семьи государственных гарантий и социальной поддержки, взысканию не подлежат.</w:t>
      </w:r>
    </w:p>
    <w:p>
      <w:pPr>
        <w:pStyle w:val="0"/>
        <w:spacing w:before="200" w:line-rule="auto"/>
        <w:ind w:firstLine="540"/>
        <w:jc w:val="both"/>
      </w:pPr>
      <w:r>
        <w:rPr>
          <w:sz w:val="20"/>
        </w:rPr>
        <w:t xml:space="preserve">7.15. Уполномоченный орган Югры в течение 2 рабочих дней со дня получения от Управления информации о соотечественниках, утративших статус участника Государственной программы, направляет ее в центр занятости населения.</w:t>
      </w:r>
    </w:p>
    <w:p>
      <w:pPr>
        <w:pStyle w:val="0"/>
        <w:spacing w:before="200" w:line-rule="auto"/>
        <w:ind w:firstLine="540"/>
        <w:jc w:val="both"/>
      </w:pPr>
      <w:r>
        <w:rPr>
          <w:sz w:val="20"/>
        </w:rPr>
        <w:t xml:space="preserve">7.16. Центр занятости населения в течение 10 рабочих дней со дня поступления от Уполномоченного органа Югры информации о соотечественниках, утративших статус участника Государственной программы, направляет им по адресам, заявленным при получении компенсации расходов, мотивированное требование о возврате бюджетных средств.</w:t>
      </w:r>
    </w:p>
    <w:p>
      <w:pPr>
        <w:pStyle w:val="0"/>
        <w:spacing w:before="200" w:line-rule="auto"/>
        <w:ind w:firstLine="540"/>
        <w:jc w:val="both"/>
      </w:pPr>
      <w:r>
        <w:rPr>
          <w:sz w:val="20"/>
        </w:rPr>
        <w:t xml:space="preserve">7.17. Соотечественники, утратившие статус участника Государственной программы, обязаны вернуть средства в бюджет автономного округа в течение 90 календарных дней с даты снятия с учета в Управлении.</w:t>
      </w:r>
    </w:p>
    <w:p>
      <w:pPr>
        <w:pStyle w:val="0"/>
        <w:spacing w:before="200" w:line-rule="auto"/>
        <w:ind w:firstLine="540"/>
        <w:jc w:val="both"/>
      </w:pPr>
      <w:r>
        <w:rPr>
          <w:sz w:val="20"/>
        </w:rPr>
        <w:t xml:space="preserve">7.18. В случае отказа участника Государственной программы от возврата средств их взыскание осуществляется центром занятости населения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7.19. Ответственность за неправомерность предоставления компенсации расходов возлагается на руководителя центра занятости населения.</w:t>
      </w:r>
    </w:p>
    <w:p>
      <w:pPr>
        <w:pStyle w:val="0"/>
        <w:spacing w:before="200" w:line-rule="auto"/>
        <w:ind w:firstLine="540"/>
        <w:jc w:val="both"/>
      </w:pPr>
      <w:r>
        <w:rPr>
          <w:sz w:val="20"/>
        </w:rPr>
        <w:t xml:space="preserve">Споры и взаимные претензии гражданина и центра занятости населения решаются путем переговоров, при необходимости - с привлечением Уполномоченного органа Югры, а в случае недостижения согласия - в судебном порядке.</w:t>
      </w:r>
    </w:p>
    <w:p>
      <w:pPr>
        <w:pStyle w:val="0"/>
        <w:spacing w:before="200" w:line-rule="auto"/>
        <w:ind w:firstLine="540"/>
        <w:jc w:val="both"/>
      </w:pPr>
      <w:r>
        <w:rPr>
          <w:sz w:val="20"/>
        </w:rPr>
        <w:t xml:space="preserve">7.20. Уполномоченный орган Югры и орган государственного финансового контроля автономного округа осуществляют обязательную проверку соблюдения условий, целей и порядка предоставления компенсации расходов.</w:t>
      </w:r>
    </w:p>
    <w:p>
      <w:pPr>
        <w:pStyle w:val="0"/>
        <w:spacing w:before="200" w:line-rule="auto"/>
        <w:ind w:firstLine="540"/>
        <w:jc w:val="both"/>
      </w:pPr>
      <w:r>
        <w:rPr>
          <w:sz w:val="20"/>
        </w:rPr>
        <w:t xml:space="preserve">7.21. Типовые формы и единый порядок работы центров занятости с документами для компенсации расходов устанавливает Уполномоченный орган Югры.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4"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color w:val="392c69"/>
              </w:rPr>
              <w:t xml:space="preserve"> Правительства ХМАО - Югры от 03.03.2023 N 68-п)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t xml:space="preserve">(в ред. </w:t>
      </w:r>
      <w:hyperlink w:history="0" r:id="rId155"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03.03.2023 N 68-п)</w:t>
      </w:r>
    </w:p>
    <w:p>
      <w:pPr>
        <w:pStyle w:val="0"/>
        <w:jc w:val="both"/>
      </w:pPr>
      <w:r>
        <w:rPr>
          <w:sz w:val="20"/>
        </w:rPr>
      </w:r>
    </w:p>
    <w:bookmarkStart w:id="1555" w:name="P1555"/>
    <w:bookmarkEnd w:id="1555"/>
    <w:p>
      <w:pPr>
        <w:pStyle w:val="0"/>
        <w:outlineLvl w:val="1"/>
        <w:jc w:val="center"/>
      </w:pPr>
      <w:r>
        <w:rPr>
          <w:sz w:val="20"/>
        </w:rPr>
        <w:t xml:space="preserve">Оценка хода реализации</w:t>
      </w:r>
    </w:p>
    <w:p>
      <w:pPr>
        <w:pStyle w:val="0"/>
        <w:jc w:val="center"/>
      </w:pPr>
      <w:r>
        <w:rPr>
          <w:sz w:val="20"/>
        </w:rPr>
        <w:t xml:space="preserve">подпрограммы "Улучшение условий и охраны труда в автономном</w:t>
      </w:r>
    </w:p>
    <w:p>
      <w:pPr>
        <w:pStyle w:val="0"/>
        <w:jc w:val="center"/>
      </w:pPr>
      <w:r>
        <w:rPr>
          <w:sz w:val="20"/>
        </w:rPr>
        <w:t xml:space="preserve">округе" государственной программы автономного округа</w:t>
      </w:r>
    </w:p>
    <w:p>
      <w:pPr>
        <w:pStyle w:val="0"/>
        <w:jc w:val="center"/>
      </w:pPr>
      <w:r>
        <w:rPr>
          <w:sz w:val="20"/>
        </w:rPr>
        <w:t xml:space="preserve">"Поддержка занятости населения"</w:t>
      </w:r>
    </w:p>
    <w:p>
      <w:pPr>
        <w:pStyle w:val="0"/>
        <w:jc w:val="center"/>
      </w:pPr>
      <w:r>
        <w:rPr>
          <w:sz w:val="20"/>
        </w:rPr>
        <w:t xml:space="preserve">в 20__ году</w:t>
      </w:r>
    </w:p>
    <w:p>
      <w:pPr>
        <w:pStyle w:val="0"/>
        <w:jc w:val="both"/>
      </w:pPr>
      <w:r>
        <w:rPr>
          <w:sz w:val="20"/>
        </w:rPr>
      </w:r>
    </w:p>
    <w:p>
      <w:pPr>
        <w:pStyle w:val="0"/>
        <w:outlineLvl w:val="2"/>
        <w:jc w:val="center"/>
      </w:pPr>
      <w:r>
        <w:rPr>
          <w:sz w:val="20"/>
        </w:rPr>
        <w:t xml:space="preserve">1. По целевым показателям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89"/>
        <w:gridCol w:w="1020"/>
        <w:gridCol w:w="1020"/>
        <w:gridCol w:w="2041"/>
      </w:tblGrid>
      <w:tr>
        <w:tc>
          <w:tcPr>
            <w:tcW w:w="4989" w:type="dxa"/>
            <w:vMerge w:val="restart"/>
          </w:tcPr>
          <w:p>
            <w:pPr>
              <w:pStyle w:val="0"/>
              <w:jc w:val="center"/>
            </w:pPr>
            <w:r>
              <w:rPr>
                <w:sz w:val="20"/>
              </w:rPr>
              <w:t xml:space="preserve">Целевые показатели</w:t>
            </w:r>
          </w:p>
        </w:tc>
        <w:tc>
          <w:tcPr>
            <w:gridSpan w:val="3"/>
            <w:tcW w:w="4081" w:type="dxa"/>
          </w:tcPr>
          <w:p>
            <w:pPr>
              <w:pStyle w:val="0"/>
              <w:jc w:val="center"/>
            </w:pPr>
            <w:r>
              <w:rPr>
                <w:sz w:val="20"/>
              </w:rPr>
              <w:t xml:space="preserve">20__</w:t>
            </w:r>
          </w:p>
        </w:tc>
      </w:tr>
      <w:tr>
        <w:tc>
          <w:tcPr>
            <w:vMerge w:val="continue"/>
          </w:tcPr>
          <w:p/>
        </w:tc>
        <w:tc>
          <w:tcPr>
            <w:tcW w:w="1020" w:type="dxa"/>
          </w:tcPr>
          <w:p>
            <w:pPr>
              <w:pStyle w:val="0"/>
              <w:jc w:val="center"/>
            </w:pPr>
            <w:r>
              <w:rPr>
                <w:sz w:val="20"/>
              </w:rPr>
              <w:t xml:space="preserve">план</w:t>
            </w:r>
          </w:p>
        </w:tc>
        <w:tc>
          <w:tcPr>
            <w:tcW w:w="1020" w:type="dxa"/>
          </w:tcPr>
          <w:p>
            <w:pPr>
              <w:pStyle w:val="0"/>
              <w:jc w:val="center"/>
            </w:pPr>
            <w:r>
              <w:rPr>
                <w:sz w:val="20"/>
              </w:rPr>
              <w:t xml:space="preserve">факт</w:t>
            </w:r>
          </w:p>
        </w:tc>
        <w:tc>
          <w:tcPr>
            <w:tcW w:w="2041" w:type="dxa"/>
          </w:tcPr>
          <w:p>
            <w:pPr>
              <w:pStyle w:val="0"/>
              <w:jc w:val="center"/>
            </w:pPr>
            <w:r>
              <w:rPr>
                <w:sz w:val="20"/>
              </w:rPr>
              <w:t xml:space="preserve">Достижение запланированного показателя </w:t>
            </w:r>
            <w:hyperlink w:history="0" w:anchor="P1626" w:tooltip="&lt;12&gt; + Показатель достигнут; - показатель не достигнут.">
              <w:r>
                <w:rPr>
                  <w:sz w:val="20"/>
                  <w:color w:val="0000ff"/>
                </w:rPr>
                <w:t xml:space="preserve">&lt;12&gt;</w:t>
              </w:r>
            </w:hyperlink>
          </w:p>
        </w:tc>
      </w:tr>
      <w:tr>
        <w:tc>
          <w:tcPr>
            <w:tcW w:w="4989" w:type="dxa"/>
          </w:tcPr>
          <w:p>
            <w:pPr>
              <w:pStyle w:val="0"/>
              <w:jc w:val="center"/>
            </w:pPr>
            <w:r>
              <w:rPr>
                <w:sz w:val="20"/>
              </w:rPr>
              <w:t xml:space="preserve">1</w:t>
            </w:r>
          </w:p>
        </w:tc>
        <w:tc>
          <w:tcPr>
            <w:tcW w:w="1020" w:type="dxa"/>
          </w:tcPr>
          <w:p>
            <w:pPr>
              <w:pStyle w:val="0"/>
              <w:jc w:val="center"/>
            </w:pPr>
            <w:r>
              <w:rPr>
                <w:sz w:val="20"/>
              </w:rPr>
              <w:t xml:space="preserve">2</w:t>
            </w:r>
          </w:p>
        </w:tc>
        <w:tc>
          <w:tcPr>
            <w:tcW w:w="1020" w:type="dxa"/>
          </w:tcPr>
          <w:p>
            <w:pPr>
              <w:pStyle w:val="0"/>
              <w:jc w:val="center"/>
            </w:pPr>
            <w:r>
              <w:rPr>
                <w:sz w:val="20"/>
              </w:rPr>
              <w:t xml:space="preserve">3</w:t>
            </w:r>
          </w:p>
        </w:tc>
        <w:tc>
          <w:tcPr>
            <w:tcW w:w="2041" w:type="dxa"/>
          </w:tcPr>
          <w:p>
            <w:pPr>
              <w:pStyle w:val="0"/>
              <w:jc w:val="center"/>
            </w:pPr>
            <w:r>
              <w:rPr>
                <w:sz w:val="20"/>
              </w:rPr>
              <w:t xml:space="preserve">4</w:t>
            </w:r>
          </w:p>
        </w:tc>
      </w:tr>
      <w:tr>
        <w:tc>
          <w:tcPr>
            <w:tcW w:w="4989" w:type="dxa"/>
          </w:tcPr>
          <w:p>
            <w:pPr>
              <w:pStyle w:val="0"/>
              <w:jc w:val="both"/>
            </w:pPr>
            <w:r>
              <w:rPr>
                <w:sz w:val="20"/>
              </w:rPr>
              <w:t xml:space="preserve">1. Уровень производственного травматизма:</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1.1. Численность пострадавших в результате несчастных случаев на производстве со смертельным исходом</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1.2. Численность пострадавших в результате несчастных случаев на производстве с утратой трудоспособности на 1 рабочий день и более</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1.3. Количество дней временной нетрудоспособности в связи с несчастным случаем на производстве в расчете на 1 пострадавшего</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1.4.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2. Динамика оценки условий труда:</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2.1. Количество рабочих мест, на которых проведена специальная оценка условий труда</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2.2. Удельный вес рабочих мест, на которых проведена специальная оценка условий труда, в общем количестве рабочих мест</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2.3. Количество рабочих мест, на которых улучшены условия труда по результатам специальной оценки условий труда </w:t>
            </w:r>
            <w:hyperlink w:history="0" w:anchor="P1627" w:tooltip="&lt;13&gt; 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
              <w:r>
                <w:rPr>
                  <w:sz w:val="20"/>
                  <w:color w:val="0000ff"/>
                </w:rPr>
                <w:t xml:space="preserve">&lt;13&gt;</w:t>
              </w:r>
            </w:hyperlink>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3. Условия труда:</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3.1. Численность работников, занятых во вредных и (или) опасных условиях труда</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3.2. Удельный вес работников, занятых во вредных и (или) опасных условиях труда, от общей численности работников</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r>
        <w:tc>
          <w:tcPr>
            <w:tcW w:w="4989" w:type="dxa"/>
          </w:tcPr>
          <w:p>
            <w:pPr>
              <w:pStyle w:val="0"/>
              <w:jc w:val="both"/>
            </w:pPr>
            <w:r>
              <w:rPr>
                <w:sz w:val="20"/>
              </w:rPr>
              <w:t xml:space="preserve">Общая оценка хода реализации по целевым показателям </w:t>
            </w:r>
            <w:hyperlink w:history="0" w:anchor="P1628" w:tooltip="&lt;14&gt; Доля количества достигнутых показателей от общего количества показателей в процентах.">
              <w:r>
                <w:rPr>
                  <w:sz w:val="20"/>
                  <w:color w:val="0000ff"/>
                </w:rPr>
                <w:t xml:space="preserve">&lt;14&gt;</w:t>
              </w:r>
            </w:hyperlink>
            <w:r>
              <w:rPr>
                <w:sz w:val="20"/>
              </w:rPr>
              <w:t xml:space="preserve">, %</w:t>
            </w:r>
          </w:p>
        </w:tc>
        <w:tc>
          <w:tcPr>
            <w:tcW w:w="1020" w:type="dxa"/>
          </w:tcPr>
          <w:p>
            <w:pPr>
              <w:pStyle w:val="0"/>
            </w:pPr>
            <w:r>
              <w:rPr>
                <w:sz w:val="20"/>
              </w:rPr>
            </w:r>
          </w:p>
        </w:tc>
        <w:tc>
          <w:tcPr>
            <w:tcW w:w="1020"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626" w:name="P1626"/>
    <w:bookmarkEnd w:id="1626"/>
    <w:p>
      <w:pPr>
        <w:pStyle w:val="0"/>
        <w:spacing w:before="200" w:line-rule="auto"/>
        <w:ind w:firstLine="540"/>
        <w:jc w:val="both"/>
      </w:pPr>
      <w:r>
        <w:rPr>
          <w:sz w:val="20"/>
        </w:rPr>
        <w:t xml:space="preserve">&lt;12&gt; + Показатель достигнут; - показатель не достигнут.</w:t>
      </w:r>
    </w:p>
    <w:bookmarkStart w:id="1627" w:name="P1627"/>
    <w:bookmarkEnd w:id="1627"/>
    <w:p>
      <w:pPr>
        <w:pStyle w:val="0"/>
        <w:spacing w:before="200" w:line-rule="auto"/>
        <w:ind w:firstLine="540"/>
        <w:jc w:val="both"/>
      </w:pPr>
      <w:r>
        <w:rPr>
          <w:sz w:val="20"/>
        </w:rPr>
        <w:t xml:space="preserve">&lt;13&gt; Указывается количество рабочих мест, на которых по результатам специальной оценки условий труда, в том числе внеплановой, зафиксировано улучшение условий труда по сравнению с результатами ранее проведенной специальной оценки условий труда или аттестации рабочих мест (условия труда на рабочих местах по степени вредности и (или) опасности отнесены к более низким классам (подклассам) условий труда).</w:t>
      </w:r>
    </w:p>
    <w:bookmarkStart w:id="1628" w:name="P1628"/>
    <w:bookmarkEnd w:id="1628"/>
    <w:p>
      <w:pPr>
        <w:pStyle w:val="0"/>
        <w:spacing w:before="200" w:line-rule="auto"/>
        <w:ind w:firstLine="540"/>
        <w:jc w:val="both"/>
      </w:pPr>
      <w:r>
        <w:rPr>
          <w:sz w:val="20"/>
        </w:rPr>
        <w:t xml:space="preserve">&lt;14&gt; Доля количества достигнутых показателей от общего количества показателей в процентах.</w:t>
      </w:r>
    </w:p>
    <w:p>
      <w:pPr>
        <w:pStyle w:val="0"/>
        <w:jc w:val="both"/>
      </w:pPr>
      <w:r>
        <w:rPr>
          <w:sz w:val="20"/>
        </w:rPr>
      </w:r>
    </w:p>
    <w:p>
      <w:pPr>
        <w:pStyle w:val="0"/>
        <w:outlineLvl w:val="2"/>
        <w:ind w:firstLine="540"/>
        <w:jc w:val="both"/>
      </w:pPr>
      <w:r>
        <w:rPr>
          <w:sz w:val="20"/>
        </w:rPr>
        <w:t xml:space="preserve">2. По показателям реализации мероприятий государственной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3"/>
        <w:gridCol w:w="794"/>
        <w:gridCol w:w="794"/>
        <w:gridCol w:w="1701"/>
      </w:tblGrid>
      <w:tr>
        <w:tc>
          <w:tcPr>
            <w:tcW w:w="5783" w:type="dxa"/>
            <w:vMerge w:val="restart"/>
          </w:tcPr>
          <w:p>
            <w:pPr>
              <w:pStyle w:val="0"/>
              <w:jc w:val="center"/>
            </w:pPr>
            <w:r>
              <w:rPr>
                <w:sz w:val="20"/>
              </w:rPr>
              <w:t xml:space="preserve">Мероприятие/показатели</w:t>
            </w:r>
          </w:p>
        </w:tc>
        <w:tc>
          <w:tcPr>
            <w:gridSpan w:val="3"/>
            <w:tcW w:w="3289" w:type="dxa"/>
          </w:tcPr>
          <w:p>
            <w:pPr>
              <w:pStyle w:val="0"/>
              <w:jc w:val="center"/>
            </w:pPr>
            <w:r>
              <w:rPr>
                <w:sz w:val="20"/>
              </w:rPr>
              <w:t xml:space="preserve">20____</w:t>
            </w:r>
          </w:p>
        </w:tc>
      </w:tr>
      <w:tr>
        <w:tc>
          <w:tcPr>
            <w:vMerge w:val="continue"/>
          </w:tcPr>
          <w:p/>
        </w:tc>
        <w:tc>
          <w:tcPr>
            <w:tcW w:w="794" w:type="dxa"/>
          </w:tcPr>
          <w:p>
            <w:pPr>
              <w:pStyle w:val="0"/>
              <w:jc w:val="center"/>
            </w:pPr>
            <w:r>
              <w:rPr>
                <w:sz w:val="20"/>
              </w:rPr>
              <w:t xml:space="preserve">план</w:t>
            </w:r>
          </w:p>
        </w:tc>
        <w:tc>
          <w:tcPr>
            <w:tcW w:w="794" w:type="dxa"/>
          </w:tcPr>
          <w:p>
            <w:pPr>
              <w:pStyle w:val="0"/>
              <w:jc w:val="center"/>
            </w:pPr>
            <w:r>
              <w:rPr>
                <w:sz w:val="20"/>
              </w:rPr>
              <w:t xml:space="preserve">факт</w:t>
            </w:r>
          </w:p>
        </w:tc>
        <w:tc>
          <w:tcPr>
            <w:tcW w:w="1701" w:type="dxa"/>
          </w:tcPr>
          <w:p>
            <w:pPr>
              <w:pStyle w:val="0"/>
              <w:jc w:val="center"/>
            </w:pPr>
            <w:r>
              <w:rPr>
                <w:sz w:val="20"/>
              </w:rPr>
              <w:t xml:space="preserve">достижение запланированного показателя </w:t>
            </w:r>
            <w:hyperlink w:history="0" w:anchor="P1896" w:tooltip="&lt;15&gt; + показатель достигнут; - показатель не достигнут">
              <w:r>
                <w:rPr>
                  <w:sz w:val="20"/>
                  <w:color w:val="0000ff"/>
                </w:rPr>
                <w:t xml:space="preserve">&lt;15&gt;</w:t>
              </w:r>
            </w:hyperlink>
          </w:p>
        </w:tc>
      </w:tr>
      <w:tr>
        <w:tc>
          <w:tcPr>
            <w:tcW w:w="5783" w:type="dxa"/>
          </w:tcPr>
          <w:p>
            <w:pPr>
              <w:pStyle w:val="0"/>
              <w:jc w:val="center"/>
            </w:pPr>
            <w:r>
              <w:rPr>
                <w:sz w:val="20"/>
              </w:rPr>
              <w:t xml:space="preserve">1</w:t>
            </w:r>
          </w:p>
        </w:tc>
        <w:tc>
          <w:tcPr>
            <w:tcW w:w="794" w:type="dxa"/>
          </w:tcPr>
          <w:p>
            <w:pPr>
              <w:pStyle w:val="0"/>
              <w:jc w:val="center"/>
            </w:pPr>
            <w:r>
              <w:rPr>
                <w:sz w:val="20"/>
              </w:rPr>
              <w:t xml:space="preserve">2</w:t>
            </w:r>
          </w:p>
        </w:tc>
        <w:tc>
          <w:tcPr>
            <w:tcW w:w="794" w:type="dxa"/>
          </w:tcPr>
          <w:p>
            <w:pPr>
              <w:pStyle w:val="0"/>
              <w:jc w:val="center"/>
            </w:pPr>
            <w:r>
              <w:rPr>
                <w:sz w:val="20"/>
              </w:rPr>
              <w:t xml:space="preserve">3</w:t>
            </w:r>
          </w:p>
        </w:tc>
        <w:tc>
          <w:tcPr>
            <w:tcW w:w="1701" w:type="dxa"/>
          </w:tcPr>
          <w:p>
            <w:pPr>
              <w:pStyle w:val="0"/>
              <w:jc w:val="center"/>
            </w:pPr>
            <w:r>
              <w:rPr>
                <w:sz w:val="20"/>
              </w:rPr>
              <w:t xml:space="preserve">4</w:t>
            </w:r>
          </w:p>
        </w:tc>
      </w:tr>
      <w:tr>
        <w:tc>
          <w:tcPr>
            <w:gridSpan w:val="4"/>
            <w:tcW w:w="9072" w:type="dxa"/>
          </w:tcPr>
          <w:p>
            <w:pPr>
              <w:pStyle w:val="0"/>
              <w:outlineLvl w:val="3"/>
            </w:pPr>
            <w:r>
              <w:rPr>
                <w:sz w:val="20"/>
              </w:rPr>
              <w:t xml:space="preserve">1. Специальная оценка условий труда работающих в организациях, расположенных на территории субъекта Российской Федерации</w:t>
            </w:r>
          </w:p>
        </w:tc>
      </w:tr>
      <w:tr>
        <w:tc>
          <w:tcPr>
            <w:tcW w:w="5783" w:type="dxa"/>
          </w:tcPr>
          <w:p>
            <w:pPr>
              <w:pStyle w:val="0"/>
            </w:pPr>
            <w:r>
              <w:rPr>
                <w:sz w:val="20"/>
              </w:rPr>
              <w:t xml:space="preserve">В том числе</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pPr>
            <w:r>
              <w:rPr>
                <w:sz w:val="20"/>
              </w:rPr>
              <w:t xml:space="preserve">В организациях бюджетной сферы</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pPr>
            <w:r>
              <w:rPr>
                <w:sz w:val="20"/>
              </w:rPr>
              <w:t xml:space="preserve">В организациях внебюджетной сферы</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(семинаров, совещаний и т.п.) по оказанию консультационной помощи работодателям по проведению специальной оценки условий труда (в том числе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консультационной помощи организациям, проводящим специальную оценку условий труда (проведение семинаров, совещаний и т.п. совместно с представителями органов исполнительной власти: органов по труду субъектов Российской Федерации, территориальных органов Федеральной службы по надзору в сфере защиты прав потребителей и благополучия человека (далее - Роспотребнадзор), Федеральной службы по труду и занятости (далее - Роструд)), с целью обеспечения соответствия проведения специальной оценки условий труда требованиям нормативных правовых актов в этой области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развитию механизма общественного контроля в сфере охраны труда при проведении специальной оценки труда (в том числе в части оценки эффективности мероприятий по проведению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информационно-разъяснительных мероприятий для представителей профсоюзов, уполномоченных по охране труда и т.п.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Доля отрицательных заключений в общем количестве проведенных государственных экспертиз условий труда в целях оценки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gridSpan w:val="4"/>
            <w:tcW w:w="9072" w:type="dxa"/>
          </w:tcPr>
          <w:p>
            <w:pPr>
              <w:pStyle w:val="0"/>
              <w:outlineLvl w:val="3"/>
              <w:jc w:val="both"/>
            </w:pPr>
            <w:r>
              <w:rPr>
                <w:sz w:val="20"/>
              </w:rPr>
              <w:t xml:space="preserve">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r>
      <w:tr>
        <w:tc>
          <w:tcPr>
            <w:tcW w:w="5783" w:type="dxa"/>
          </w:tcPr>
          <w:p>
            <w:pPr>
              <w:pStyle w:val="0"/>
              <w:jc w:val="both"/>
            </w:pPr>
            <w:r>
              <w:rPr>
                <w:sz w:val="20"/>
              </w:rPr>
              <w:t xml:space="preserve">Количество хозяйствующих субъектов, реализующих мероприятия по охране труда за счет средств Фонда пенсионного и социального страхования Российской Федерации (далее - СФР), данные СФР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заседаний межведомственных комиссий и экспертных советов по охране труда с привлечением заинтересованных органов исполнительной власти, ответственных за развитие экономики в субъекте Российской Федерации, с целью координации работы по улучшению условий и охраны труда в соответствующих видах экономической деятельности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организации обеспечения работников организаций бюджетной сферы качественными средствами индивидуальной защиты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в области мониторинга добросовестных поставщиков и производителей средств индивидуальной защиты, спецодежды и спецобуви, действующих на территории субъекта Российской Федерации (в том числе содействия в организации и проведении выставок производителей СИЗ, создание и ведение реестра добросовестных и недобросовестных поставщиков и производителей СИЗ и т.п.)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(включая обеспечение средствами индивидуальной защиты) и санаторно-курортному лечению работников, занятых на работах с вредными и (или) опасными условиями труда,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 (в том числе организация и проведение информационно-разъяснительных мероприятий для работодателей с участием представителей территориальных органов СФР и т.п.)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консультационной помощи работодателям по улучшению условий и охраны труда, финансируемых работодателями в размере 0,2% суммы затрат на производство продукции (в том числе организация и проведение информационно-разъяснительных мероприятий для работодателей с участием представителей территориальных органов Федеральной налоговой службы и т.п.)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консультационной помощи работодателям по распространению и внедрению передового опыта в области охраны труда, включая разработку и внедрение в организациях субъектов Российской Федерации программ "нулевого травматизма", основанных на принципах ответственности руководителей и каждого работника за безопасность; соблюдения всех обязательных требований охраны труда; вовлечения работников в обеспечение безопасных условий и охраны труда; обеспечения выявления опасностей, оценки и снижения уровней рисков на производстве; проведения непрерывного обучения и информирования персонала по вопросам охраны труда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консультационной помощи работодателям по распространению и внедрению передового опыта в области реализации программ, направленных на укрепление здоровья работников и пропаганду здорового образа жизни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содействия в улучшении качества проведения предварительных и периодических медицинских осмотров работников, материальному оснащению и кадровому укомплектованию медицинских осмотров работников, материальному оснащению и кадровому укомплектованию медицинских организаций, центров профпатологии, профилактики профессиональных заболеваний (в пределах компетенции исполнительного органа по труду, а также финансовых возможностей субъекта Российской Федерации, с привлечением органов исполнительной власти субъекта Российской Федерации, ответственных за здравоохранение, представителей территориальных органов Роспотребнадзора, представителей бюро медико-социальной экспертизы и других заинтересованных органов исполнительной власти субъекта Российской Федерации)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содействия повышению уровня компетенции молодых специалистов в сфере охраны труда посредством организации соответствующих информационных мероприятий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организации различных информационно-методических площадок: уголков охраны труда, методических кабинетов совместно с государственными инспекциями труда, специализированными учебными центрами и учебными заведениями с профильными кафедрами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организации работы горячих линий в целях информирования и консультирования по вопросам охраны и условий труда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оказанию содействия развитию механизма общественного контроля, направленного на выявление нарушений в сфере охраны труда и их устранение (в том числе организация и проведение информационно-разъяснительных мероприятий для представителей профсоюзов и уполномоченных по охране труда)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gridSpan w:val="4"/>
            <w:tcW w:w="9072" w:type="dxa"/>
          </w:tcPr>
          <w:p>
            <w:pPr>
              <w:pStyle w:val="0"/>
              <w:outlineLvl w:val="3"/>
              <w:jc w:val="both"/>
            </w:pPr>
            <w:r>
              <w:rPr>
                <w:sz w:val="20"/>
              </w:rPr>
              <w:t xml:space="preserve">3. Непрерывная подготовка работников по охране труда на основе современных технологий обучения</w:t>
            </w:r>
          </w:p>
        </w:tc>
      </w:tr>
      <w:tr>
        <w:tc>
          <w:tcPr>
            <w:tcW w:w="5783" w:type="dxa"/>
          </w:tcPr>
          <w:p>
            <w:pPr>
              <w:pStyle w:val="0"/>
              <w:jc w:val="both"/>
            </w:pPr>
            <w:r>
              <w:rPr>
                <w:sz w:val="20"/>
              </w:rPr>
              <w:t xml:space="preserve">Количество сотрудников региональных и муниципальных органов исполнительной власти, включая государственных экспертов, а также работников организаций и учреждений бюджетной сферы, прошедших обучение по охране труда (или повышение квалификации) (чел.)</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оценке качества обучения по охране труда в субъекте Российской Федерации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согласованию учебных программ по охране труда, используемых обучающими организациями, аккредитованными на территории субъекта РФ, с целью обеспечения их соответствия изменениям в трудовом законодательстве, в том числе с учетом требований типового положения о системе управления охраной труда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координации деятельности обучающих организаций, аккредитованных на проведение обучения и проверки знаний требований охраны труда в субъекте РФ, по осуществлению непрерывной подготовки работников организаций субъекта Российской Федерации в области охраны труда с учетом категорий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содействию созданию и оснащению учебно-методических центров по охране труда, ориентированных на обучение практическим методам и способам безопасного производства работ, применения средств индивидуальной защиты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содействию внедрению современных технологий обучения, в том числе дистанционного, для предприятий малого бизнеса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Издание и тиражирование видеокурсов, методических материалов по обучению в сфере охраны труда, видеоинструкций и т.д.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Организация информационно-разъяснительных мероприятий для представителей работодателей и обучающих организаций по актуальным вопросам в области охраны труда, включая изменения в трудовом законодательстве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Ведение учета организаций, проводящих обучение и проверку знаний требований охраны труда организаций, и размещение информации в сети интернет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проведенных лекций и семинаров в ССУЗах и ВУЗах по повышению культуры охраны труда в организациях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Мероприятия по содействию внедрению форм дистанционного обучения по охране труда, подготовка видеоинструкций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gridSpan w:val="4"/>
            <w:tcW w:w="9072" w:type="dxa"/>
          </w:tcPr>
          <w:p>
            <w:pPr>
              <w:pStyle w:val="0"/>
              <w:outlineLvl w:val="3"/>
              <w:jc w:val="both"/>
            </w:pPr>
            <w:r>
              <w:rPr>
                <w:sz w:val="20"/>
              </w:rPr>
              <w:t xml:space="preserve">4. Совершенствование нормативной правовой базы в области охраны труда</w:t>
            </w:r>
          </w:p>
        </w:tc>
      </w:tr>
      <w:tr>
        <w:tc>
          <w:tcPr>
            <w:tcW w:w="5783" w:type="dxa"/>
          </w:tcPr>
          <w:p>
            <w:pPr>
              <w:pStyle w:val="0"/>
              <w:jc w:val="both"/>
            </w:pPr>
            <w:r>
              <w:rPr>
                <w:sz w:val="20"/>
              </w:rPr>
              <w:t xml:space="preserve">Количество разработанных проектов законов и иных нормативных правовых актов субъекта Российской Федерации, устанавливающих требования в области охраны труда по различным направлениям (например, организации обучения и проверки знаний требований охраны труда на территории субъекта Российской Федерации, ведение региональной отчетности по вопросам охраны труда, проведения специальной оценки условий труда в организациях бюджетной сферы и т.п.)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актуализированных законов и иных нормативных правовых актов в области охраны труда субъекта Российской Федерации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принятых законов и иных нормативных правовых актов субъекта Российской Федерации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Передача части полномочий по реализации государственной политики в области охраны труда на уровень муниципальных образований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Оказание методической помощи работодателям по обеспечению охраны труда в организациях субъекта Российской Федерации (в том числе разработка и распространение различных методических рекомендаций, разъяснений, типовых форм и т.п.)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gridSpan w:val="4"/>
            <w:tcW w:w="9072" w:type="dxa"/>
          </w:tcPr>
          <w:p>
            <w:pPr>
              <w:pStyle w:val="0"/>
              <w:outlineLvl w:val="3"/>
              <w:jc w:val="both"/>
            </w:pPr>
            <w:r>
              <w:rPr>
                <w:sz w:val="20"/>
              </w:rPr>
              <w:t xml:space="preserve">5. Информационное обеспечение и пропаганда охраны труда</w:t>
            </w:r>
          </w:p>
        </w:tc>
      </w:tr>
      <w:tr>
        <w:tc>
          <w:tcPr>
            <w:tcW w:w="5783" w:type="dxa"/>
          </w:tcPr>
          <w:p>
            <w:pPr>
              <w:pStyle w:val="0"/>
              <w:jc w:val="both"/>
            </w:pPr>
            <w:r>
              <w:rPr>
                <w:sz w:val="20"/>
              </w:rPr>
              <w:t xml:space="preserve">Организация и проведение мониторинга условий и охраны труда на уровне субъекта Российской Федерации (в том числе внедрение электронной системы сбора и обработки статистических данных в области охраны труда, реестра недобросовестных поставщиков услуги по специальной оценке условий труда, реестра участников смотров-конкурсов в области охраны труда и т.п.) с целью получения достоверных и полных статистических сведений для принятия управленческих решений на уровне органа исполнительной власти по труду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Размещение в средствах массовой информации материалов (статей, обзоров и т.п.) по актуальным вопросам в области охраны труда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носящих информационно-просветительский и пропагандистский характер, направленных на создание мотивации у работодателей и работников к безопасному труду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проведенных совещаний, смотров-конкурсов, направленных на пропаганду и информирование работающего населения по актуальным вопросам охраны труда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Информирование по вопросам охраны труда посредством создания общедоступных информационных интернет-ресурсов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Организация и проведение семинаров, конференций, круглых столов, посвященных Всемирному дню охраны труда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мероприятий по обмену опытом по внедрению современных средств безопасности труда и улучшению условий труда работников, тиражирование лучших практик в сфере охраны труда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организованных и проведенных конференций, круглых столов, семинаров, выставок по вопросам улучшения условий и охраны труда в субъекте Российской Федерации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проведенных конкурсов с целью пропаганды охраны труда в дошкольных и общеобразовательных учебных заведениях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проведенных конкурсов профессионального мастерства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проведенных конкурсов на лучшую организацию и лучшего специалиста по охране труда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Подготовка информационно-аналитических обзоров по инновациям в сфере защиты жизни и здоровья работников, в том числе в области индивидуальной и коллективной защиты на рабочем месте и т.п.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Размещение информационных материалов по охране труда в средствах массовой информации и общественных местах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gridSpan w:val="4"/>
            <w:tcW w:w="9072" w:type="dxa"/>
          </w:tcPr>
          <w:p>
            <w:pPr>
              <w:pStyle w:val="0"/>
              <w:outlineLvl w:val="3"/>
              <w:jc w:val="both"/>
            </w:pPr>
            <w:r>
              <w:rPr>
                <w:sz w:val="20"/>
              </w:rPr>
              <w:t xml:space="preserve">6. Повышение эффективности соблюдения трудового законодательства и иных нормативных правовых актов, содержащих нормы трудового права</w:t>
            </w:r>
          </w:p>
        </w:tc>
      </w:tr>
      <w:tr>
        <w:tc>
          <w:tcPr>
            <w:tcW w:w="5783" w:type="dxa"/>
          </w:tcPr>
          <w:p>
            <w:pPr>
              <w:pStyle w:val="0"/>
              <w:jc w:val="both"/>
            </w:pPr>
            <w:r>
              <w:rPr>
                <w:sz w:val="20"/>
              </w:rPr>
              <w:t xml:space="preserve">Количество проведенных семинаров, совещаний, конференций и т.п.,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Оказание консультационной помощи работодателям по внедрению передового опыта внедрения систем добровольного внутреннего контроля (самоконтроля) работодателями соблюдения требований трудового законодательства (в том числе проведение для работодателей совместных с территориальными органами Роструда информационно-разъяснительных мероприятий по прохождению самопроверки на сайте Роструда, оформлению сертификатов доверия работодателям, а также проведение информационно-разъяснительных мероприятий для работодателей по обмену опытом; проведение регулярных аудитов безопасности в рамках системы управления охраной труда)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Доля многофункциональных центров предоставления государственных и муниципальных услуг, привлеченных к решению задач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права, путем обеспечения в инфоматах многофункциональных центров предоставления государственных и муниципальных услуг доступа к порталу </w:t>
            </w:r>
            <w:r>
              <w:rPr>
                <w:sz w:val="20"/>
              </w:rPr>
              <w:t xml:space="preserve">Онлайнинспекция.рф</w:t>
            </w:r>
            <w:r>
              <w:rPr>
                <w:sz w:val="20"/>
              </w:rPr>
              <w:t xml:space="preserve"> (%)</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Подготовка информационно-аналитических обзоров по передовому опыту в сфере формирования систем внутреннего контроля за соблюдением трудового законодательства и иных нормативных правовых актов, содержащих нормы трудового права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Содействие территориальным органам Роструда в стимулировании работодателей к улучшению условий труда и внедрению новых принципов обеспечения соблюдения трудового законодательства (да/нет)</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Обеспечение ведомственного контроля за соблюдением трудового законодательства и иных нормативных правовых актов, содержащих нормы трудового права:</w:t>
            </w:r>
          </w:p>
          <w:p>
            <w:pPr>
              <w:pStyle w:val="0"/>
              <w:jc w:val="both"/>
            </w:pPr>
            <w:r>
              <w:rPr>
                <w:sz w:val="20"/>
              </w:rPr>
              <w:t xml:space="preserve">количество проведенных проверок (план/факт);</w:t>
            </w:r>
          </w:p>
          <w:p>
            <w:pPr>
              <w:pStyle w:val="0"/>
              <w:jc w:val="both"/>
            </w:pPr>
            <w:r>
              <w:rPr>
                <w:sz w:val="20"/>
              </w:rPr>
              <w:t xml:space="preserve">удельный вес организаций, охваченных ведомственным контролем в общем количестве подведомственных организаций (%);</w:t>
            </w:r>
          </w:p>
          <w:p>
            <w:pPr>
              <w:pStyle w:val="0"/>
              <w:jc w:val="both"/>
            </w:pPr>
            <w:r>
              <w:rPr>
                <w:sz w:val="20"/>
              </w:rPr>
              <w:t xml:space="preserve">удельный вес нарушений, устраненных в установленный срок в общем количестве выявленных нарушений (%)</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заседаний Трехсторонней комиссии по регулированию социально-трудовых отношений по вопросам задолженности по заработной плате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заседаний Трехсторонней комиссии по регулированию социально-трудовых отношений по вопросам теневой занятости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заседаний Трехсторонней комиссии по регулированию социально-трудовых отношений по вопросам осуществления профсоюзного контроля за соблюдением трудового законодательства и иных нормативных правовых актов, содержащих нормы трудового права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Количество заседаний Трехсторонней комиссии по регулированию социально-трудовых отношений по вопросам соблюдения трудового законодательства и иных нормативных правовых актов, содержащих нормы трудового права (ед.)</w:t>
            </w:r>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r>
        <w:tc>
          <w:tcPr>
            <w:tcW w:w="5783" w:type="dxa"/>
          </w:tcPr>
          <w:p>
            <w:pPr>
              <w:pStyle w:val="0"/>
              <w:jc w:val="both"/>
            </w:pPr>
            <w:r>
              <w:rPr>
                <w:sz w:val="20"/>
              </w:rPr>
              <w:t xml:space="preserve">Общая оценка </w:t>
            </w:r>
            <w:hyperlink w:history="0" w:anchor="P1897" w:tooltip="&lt;16&gt; Доля количества достигнутых показателей от общего количества показателей в процентах">
              <w:r>
                <w:rPr>
                  <w:sz w:val="20"/>
                  <w:color w:val="0000ff"/>
                </w:rPr>
                <w:t xml:space="preserve">&lt;16&gt;</w:t>
              </w:r>
            </w:hyperlink>
          </w:p>
        </w:tc>
        <w:tc>
          <w:tcPr>
            <w:tcW w:w="794" w:type="dxa"/>
          </w:tcPr>
          <w:p>
            <w:pPr>
              <w:pStyle w:val="0"/>
            </w:pPr>
            <w:r>
              <w:rPr>
                <w:sz w:val="20"/>
              </w:rPr>
            </w:r>
          </w:p>
        </w:tc>
        <w:tc>
          <w:tcPr>
            <w:tcW w:w="794" w:type="dxa"/>
          </w:tcPr>
          <w:p>
            <w:pPr>
              <w:pStyle w:val="0"/>
            </w:pPr>
            <w:r>
              <w:rPr>
                <w:sz w:val="20"/>
              </w:rPr>
            </w:r>
          </w:p>
        </w:tc>
        <w:tc>
          <w:tcPr>
            <w:tcW w:w="170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896" w:name="P1896"/>
    <w:bookmarkEnd w:id="1896"/>
    <w:p>
      <w:pPr>
        <w:pStyle w:val="0"/>
        <w:spacing w:before="200" w:line-rule="auto"/>
        <w:ind w:firstLine="540"/>
        <w:jc w:val="both"/>
      </w:pPr>
      <w:r>
        <w:rPr>
          <w:sz w:val="20"/>
        </w:rPr>
        <w:t xml:space="preserve">&lt;15&gt; + показатель достигнут; - показатель не достигнут</w:t>
      </w:r>
    </w:p>
    <w:bookmarkStart w:id="1897" w:name="P1897"/>
    <w:bookmarkEnd w:id="1897"/>
    <w:p>
      <w:pPr>
        <w:pStyle w:val="0"/>
        <w:spacing w:before="200" w:line-rule="auto"/>
        <w:ind w:firstLine="540"/>
        <w:jc w:val="both"/>
      </w:pPr>
      <w:r>
        <w:rPr>
          <w:sz w:val="20"/>
        </w:rPr>
        <w:t xml:space="preserve">&lt;16&gt; Доля количества достигнутых показателей от общего количества показателей в процентах</w:t>
      </w:r>
    </w:p>
    <w:p>
      <w:pPr>
        <w:pStyle w:val="0"/>
        <w:jc w:val="both"/>
      </w:pPr>
      <w:r>
        <w:rPr>
          <w:sz w:val="20"/>
        </w:rPr>
      </w:r>
    </w:p>
    <w:p>
      <w:pPr>
        <w:pStyle w:val="2"/>
        <w:outlineLvl w:val="1"/>
        <w:jc w:val="center"/>
      </w:pPr>
      <w:r>
        <w:rPr>
          <w:sz w:val="20"/>
        </w:rPr>
        <w:t xml:space="preserve">Методика оценки уровня реализации подпрограммы "Улучшение</w:t>
      </w:r>
    </w:p>
    <w:p>
      <w:pPr>
        <w:pStyle w:val="2"/>
        <w:jc w:val="center"/>
      </w:pPr>
      <w:r>
        <w:rPr>
          <w:sz w:val="20"/>
        </w:rPr>
        <w:t xml:space="preserve">условий и охраны труда в автономном округе"</w:t>
      </w:r>
    </w:p>
    <w:p>
      <w:pPr>
        <w:pStyle w:val="0"/>
        <w:jc w:val="both"/>
      </w:pPr>
      <w:r>
        <w:rPr>
          <w:sz w:val="20"/>
        </w:rPr>
      </w:r>
    </w:p>
    <w:p>
      <w:pPr>
        <w:pStyle w:val="0"/>
        <w:ind w:firstLine="540"/>
        <w:jc w:val="both"/>
      </w:pPr>
      <w:r>
        <w:rPr>
          <w:sz w:val="20"/>
        </w:rPr>
        <w:t xml:space="preserve">Оценка уровня реализации подпрограммы "Улучшение условий и охраны труда в автономном округе" осуществляется путем сравнения фактического изменения целевых индикаторов относительно их базовых значений с планируемыми изменениями. В качестве базовых берутся значения индикаторов на год начала реализации подпрограммы. Результативность подпрограммы оценивается исходя из соответствия ее целевых индикаторов планируемым. Планируемые индикаторы должны отличаться от базовых в сторону улучшения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За исключением индикаторов, базовое значение которых в субъекте Российской Федерации достигло предельных величин</w:t>
      </w:r>
    </w:p>
    <w:p>
      <w:pPr>
        <w:pStyle w:val="0"/>
        <w:jc w:val="both"/>
      </w:pPr>
      <w:r>
        <w:rPr>
          <w:sz w:val="20"/>
        </w:rPr>
      </w:r>
    </w:p>
    <w:p>
      <w:pPr>
        <w:pStyle w:val="0"/>
        <w:ind w:firstLine="540"/>
        <w:jc w:val="both"/>
      </w:pPr>
      <w:r>
        <w:rPr>
          <w:sz w:val="20"/>
        </w:rPr>
        <w:t xml:space="preserve">Оценка уровня реализации подпрограммы осуществляется ежегодно в течение всего срока реализации подпрограммы и в целом по окончании ее реализации.</w:t>
      </w:r>
    </w:p>
    <w:p>
      <w:pPr>
        <w:pStyle w:val="0"/>
        <w:spacing w:before="200" w:line-rule="auto"/>
        <w:ind w:firstLine="540"/>
        <w:jc w:val="both"/>
      </w:pPr>
      <w:r>
        <w:rPr>
          <w:sz w:val="20"/>
        </w:rPr>
        <w:t xml:space="preserve">Оценка уровня реализации подпрограммы проводится по каждому ее направлению по следующей формуле:</w:t>
      </w:r>
    </w:p>
    <w:p>
      <w:pPr>
        <w:pStyle w:val="0"/>
        <w:jc w:val="both"/>
      </w:pPr>
      <w:r>
        <w:rPr>
          <w:sz w:val="20"/>
        </w:rPr>
      </w:r>
    </w:p>
    <w:p>
      <w:pPr>
        <w:pStyle w:val="0"/>
        <w:jc w:val="center"/>
      </w:pPr>
      <w:r>
        <w:rPr>
          <w:position w:val="-26"/>
        </w:rPr>
        <w:drawing>
          <wp:inline distT="0" distB="0" distL="0" distR="0">
            <wp:extent cx="14763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a:extLst>
                        <a:ext uri="{28A0092B-C50C-407E-A947-70E740481C1C}">
                          <a14:useLocalDpi xmlns:a14="http://schemas.microsoft.com/office/drawing/2010/main" val="0"/>
                        </a:ext>
                      </a:extLst>
                    </a:blip>
                    <a:srcRect/>
                    <a:stretch>
                      <a:fillRect/>
                    </a:stretch>
                  </pic:blipFill>
                  <pic:spPr bwMode="auto">
                    <a:xfrm>
                      <a:off x="0" y="0"/>
                      <a:ext cx="1476375" cy="457200"/>
                    </a:xfrm>
                    <a:prstGeom prst="rect">
                      <a:avLst/>
                    </a:prstGeom>
                    <a:noFill/>
                    <a:ln>
                      <a:noFill/>
                    </a:ln>
                  </pic:spPr>
                </pic:pic>
              </a:graphicData>
            </a:graphic>
          </wp:inline>
        </w:drawing>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w:t>
      </w:r>
      <w:r>
        <w:rPr>
          <w:sz w:val="20"/>
          <w:vertAlign w:val="subscript"/>
        </w:rPr>
        <w:t xml:space="preserve">i</w:t>
      </w:r>
      <w:r>
        <w:rPr>
          <w:sz w:val="20"/>
        </w:rPr>
        <w:t xml:space="preserve"> - уровень хода реализации отдельного направления подпрограммы (в процентах);</w:t>
      </w:r>
    </w:p>
    <w:p>
      <w:pPr>
        <w:pStyle w:val="0"/>
        <w:spacing w:before="200" w:line-rule="auto"/>
        <w:ind w:firstLine="540"/>
        <w:jc w:val="both"/>
      </w:pPr>
      <w:r>
        <w:rPr>
          <w:position w:val="-8"/>
        </w:rPr>
        <w:drawing>
          <wp:inline distT="0" distB="0" distL="0" distR="0">
            <wp:extent cx="2286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7">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sz w:val="20"/>
        </w:rPr>
        <w:t xml:space="preserve"> - базовое значение i-го индикатора, характеризующего i-е направление подпрограммы;</w:t>
      </w:r>
    </w:p>
    <w:p>
      <w:pPr>
        <w:pStyle w:val="0"/>
        <w:spacing w:before="200" w:line-rule="auto"/>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текущее значение i-го индикатора, характеризующего реализацию i-го направления подпрограммы;</w:t>
      </w:r>
    </w:p>
    <w:p>
      <w:pPr>
        <w:pStyle w:val="0"/>
        <w:spacing w:before="200" w:line-rule="auto"/>
        <w:ind w:firstLine="540"/>
        <w:jc w:val="both"/>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0"/>
        </w:rPr>
        <w:t xml:space="preserve"> - плановое значение i-го индикатора, подпрограммы.</w:t>
      </w:r>
    </w:p>
    <w:p>
      <w:pPr>
        <w:pStyle w:val="0"/>
        <w:spacing w:before="200" w:line-rule="auto"/>
        <w:ind w:firstLine="540"/>
        <w:jc w:val="both"/>
      </w:pPr>
      <w:r>
        <w:rPr>
          <w:sz w:val="20"/>
        </w:rPr>
        <w:t xml:space="preserve">Используются следующие целевые индикаторы подпрограммы:</w:t>
      </w:r>
    </w:p>
    <w:p>
      <w:pPr>
        <w:pStyle w:val="0"/>
        <w:spacing w:before="200" w:line-rule="auto"/>
        <w:ind w:firstLine="540"/>
        <w:jc w:val="both"/>
      </w:pPr>
      <w:r>
        <w:rPr>
          <w:sz w:val="20"/>
        </w:rPr>
        <w:t xml:space="preserve">численность пострадавших с утратой трудоспособности на 1 рабочий день и более в расчете на 1000 работающих (X</w:t>
      </w:r>
      <w:r>
        <w:rPr>
          <w:sz w:val="20"/>
          <w:vertAlign w:val="subscript"/>
        </w:rPr>
        <w:t xml:space="preserve">1</w:t>
      </w:r>
      <w:r>
        <w:rPr>
          <w:sz w:val="20"/>
        </w:rPr>
        <w:t xml:space="preserve">);</w:t>
      </w:r>
    </w:p>
    <w:p>
      <w:pPr>
        <w:pStyle w:val="0"/>
        <w:spacing w:before="200" w:line-rule="auto"/>
        <w:ind w:firstLine="540"/>
        <w:jc w:val="both"/>
      </w:pPr>
      <w:r>
        <w:rPr>
          <w:sz w:val="20"/>
        </w:rPr>
        <w:t xml:space="preserve">численность пострадавших со смертельным исходом в расчете на 1000 работающих (X</w:t>
      </w:r>
      <w:r>
        <w:rPr>
          <w:sz w:val="20"/>
          <w:vertAlign w:val="subscript"/>
        </w:rPr>
        <w:t xml:space="preserve">2</w:t>
      </w:r>
      <w:r>
        <w:rPr>
          <w:sz w:val="20"/>
        </w:rPr>
        <w:t xml:space="preserve">);</w:t>
      </w:r>
    </w:p>
    <w:p>
      <w:pPr>
        <w:pStyle w:val="0"/>
        <w:spacing w:before="200" w:line-rule="auto"/>
        <w:ind w:firstLine="540"/>
        <w:jc w:val="both"/>
      </w:pPr>
      <w:r>
        <w:rPr>
          <w:sz w:val="20"/>
        </w:rPr>
        <w:t xml:space="preserve">удельный вес численности работников, занятых во вредных и (или) опасных условиях труда в процентах от общего количества занятых (X</w:t>
      </w:r>
      <w:r>
        <w:rPr>
          <w:sz w:val="20"/>
          <w:vertAlign w:val="subscript"/>
        </w:rPr>
        <w:t xml:space="preserve">3</w:t>
      </w:r>
      <w:r>
        <w:rPr>
          <w:sz w:val="20"/>
        </w:rPr>
        <w:t xml:space="preserve">);</w:t>
      </w:r>
    </w:p>
    <w:p>
      <w:pPr>
        <w:pStyle w:val="0"/>
        <w:spacing w:before="200" w:line-rule="auto"/>
        <w:ind w:firstLine="540"/>
        <w:jc w:val="both"/>
      </w:pPr>
      <w:r>
        <w:rPr>
          <w:sz w:val="20"/>
        </w:rPr>
        <w:t xml:space="preserve">удельный вес работников, занятых на рабочих местах, в отношении которых проведена оценка условий труда, в процентах от общего количества занятых в экономике региона (X</w:t>
      </w:r>
      <w:r>
        <w:rPr>
          <w:sz w:val="20"/>
          <w:vertAlign w:val="subscript"/>
        </w:rPr>
        <w:t xml:space="preserve">4</w:t>
      </w:r>
      <w:r>
        <w:rPr>
          <w:sz w:val="20"/>
        </w:rPr>
        <w:t xml:space="preserve">);</w:t>
      </w:r>
    </w:p>
    <w:p>
      <w:pPr>
        <w:pStyle w:val="0"/>
        <w:spacing w:before="200" w:line-rule="auto"/>
        <w:ind w:firstLine="540"/>
        <w:jc w:val="both"/>
      </w:pPr>
      <w:r>
        <w:rPr>
          <w:sz w:val="20"/>
        </w:rPr>
        <w:t xml:space="preserve">численность работников с впервые установленным профессиональным заболеванием (X</w:t>
      </w:r>
      <w:r>
        <w:rPr>
          <w:sz w:val="20"/>
          <w:vertAlign w:val="subscript"/>
        </w:rPr>
        <w:t xml:space="preserve">5</w:t>
      </w:r>
      <w:r>
        <w:rPr>
          <w:sz w:val="20"/>
        </w:rPr>
        <w:t xml:space="preserve">).</w:t>
      </w:r>
    </w:p>
    <w:p>
      <w:pPr>
        <w:pStyle w:val="0"/>
        <w:spacing w:before="200" w:line-rule="auto"/>
        <w:ind w:firstLine="540"/>
        <w:jc w:val="both"/>
      </w:pPr>
      <w:r>
        <w:rPr>
          <w:sz w:val="20"/>
        </w:rPr>
        <w:t xml:space="preserve">Примечание. В случае если базовый индикатор равен предельному значению и улучшение его невозможно, планируется поддержание индикатора на предельном уровне. При этом, в случае если текущий показатель подпрограммы отличен от базового, эффективность реализации подпрограммы принимается равной 0%, если равен базовому - 100%.</w:t>
      </w:r>
    </w:p>
    <w:p>
      <w:pPr>
        <w:pStyle w:val="0"/>
        <w:spacing w:before="200" w:line-rule="auto"/>
        <w:ind w:firstLine="540"/>
        <w:jc w:val="both"/>
      </w:pPr>
      <w:r>
        <w:rPr>
          <w:sz w:val="20"/>
        </w:rPr>
        <w:t xml:space="preserve">Интегральная оценка эффективности реализации подпрограммы проводится по интегральному показателю:</w:t>
      </w:r>
    </w:p>
    <w:p>
      <w:pPr>
        <w:pStyle w:val="0"/>
        <w:jc w:val="both"/>
      </w:pPr>
      <w:r>
        <w:rPr>
          <w:sz w:val="20"/>
        </w:rPr>
      </w:r>
    </w:p>
    <w:p>
      <w:pPr>
        <w:pStyle w:val="0"/>
        <w:jc w:val="center"/>
      </w:pPr>
      <w:r>
        <w:rPr>
          <w:position w:val="-23"/>
        </w:rPr>
        <w:drawing>
          <wp:inline distT="0" distB="0" distL="0" distR="0">
            <wp:extent cx="8001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Pr>
          <w:sz w:val="20"/>
        </w:rPr>
        <w:t xml:space="preserve">,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E</w:t>
      </w:r>
      <w:r>
        <w:rPr>
          <w:sz w:val="20"/>
          <w:vertAlign w:val="subscript"/>
        </w:rPr>
        <w:t xml:space="preserve">i</w:t>
      </w:r>
      <w:r>
        <w:rPr>
          <w:sz w:val="20"/>
        </w:rPr>
        <w:t xml:space="preserve"> - уровень хода реализации отдельного направления подпрограммы;</w:t>
      </w:r>
    </w:p>
    <w:p>
      <w:pPr>
        <w:pStyle w:val="0"/>
        <w:spacing w:before="200" w:line-rule="auto"/>
        <w:ind w:firstLine="540"/>
        <w:jc w:val="both"/>
      </w:pPr>
      <w:r>
        <w:rPr>
          <w:sz w:val="20"/>
        </w:rPr>
        <w:t xml:space="preserve">N - количество целевых индикаторов.</w:t>
      </w:r>
    </w:p>
    <w:p>
      <w:pPr>
        <w:pStyle w:val="0"/>
        <w:spacing w:before="200" w:line-rule="auto"/>
        <w:ind w:firstLine="540"/>
        <w:jc w:val="both"/>
      </w:pPr>
      <w:r>
        <w:rPr>
          <w:sz w:val="20"/>
        </w:rPr>
        <w:t xml:space="preserve">При значениях интегрального показателя уровня реализации подпрограммы Е = 80% и более эффективность реализации подпрограммы признается высокой при значении R от 79%, до 50% - средней, при значениях R меньше 50% - низкой.</w:t>
      </w:r>
    </w:p>
    <w:p>
      <w:pPr>
        <w:pStyle w:val="0"/>
        <w:jc w:val="both"/>
      </w:pPr>
      <w:r>
        <w:rPr>
          <w:sz w:val="20"/>
        </w:rPr>
      </w:r>
    </w:p>
    <w:p>
      <w:pPr>
        <w:pStyle w:val="2"/>
        <w:outlineLvl w:val="1"/>
        <w:jc w:val="center"/>
      </w:pPr>
      <w:r>
        <w:rPr>
          <w:sz w:val="20"/>
        </w:rPr>
        <w:t xml:space="preserve">Методика расчета экономической эффективности программных</w:t>
      </w:r>
    </w:p>
    <w:p>
      <w:pPr>
        <w:pStyle w:val="2"/>
        <w:jc w:val="center"/>
      </w:pPr>
      <w:r>
        <w:rPr>
          <w:sz w:val="20"/>
        </w:rPr>
        <w:t xml:space="preserve">мероприятий подпрограммы "Улучшение условий и охраны труда</w:t>
      </w:r>
    </w:p>
    <w:p>
      <w:pPr>
        <w:pStyle w:val="2"/>
        <w:jc w:val="center"/>
      </w:pPr>
      <w:r>
        <w:rPr>
          <w:sz w:val="20"/>
        </w:rPr>
        <w:t xml:space="preserve">в автономном округе"</w:t>
      </w:r>
    </w:p>
    <w:p>
      <w:pPr>
        <w:pStyle w:val="0"/>
        <w:jc w:val="both"/>
      </w:pPr>
      <w:r>
        <w:rPr>
          <w:sz w:val="20"/>
        </w:rPr>
      </w:r>
    </w:p>
    <w:p>
      <w:pPr>
        <w:pStyle w:val="0"/>
        <w:ind w:firstLine="540"/>
        <w:jc w:val="both"/>
      </w:pPr>
      <w:r>
        <w:rPr>
          <w:sz w:val="20"/>
        </w:rPr>
        <w:t xml:space="preserve">Экономический эффект (выгода В, в руб.) в денежном выражении мероприятий по улучшению условий и охраны труда определяется суммой предотвращенного ущерба (экономических последствий) </w:t>
      </w:r>
      <w:r>
        <w:rPr>
          <w:position w:val="-4"/>
        </w:rPr>
        <w:drawing>
          <wp:inline distT="0" distB="0" distL="0" distR="0">
            <wp:extent cx="2571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sz w:val="20"/>
        </w:rPr>
        <w:t xml:space="preserve"> от производственного травматизма и профессиональных заболеваний в рублях и сокращением расходов </w:t>
      </w:r>
      <w:r>
        <w:rPr>
          <w:position w:val="-4"/>
        </w:rPr>
        <w:drawing>
          <wp:inline distT="0" distB="0" distL="0" distR="0">
            <wp:extent cx="2381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Pr>
          <w:sz w:val="20"/>
        </w:rPr>
        <w:t xml:space="preserve"> на компенсации за работу во вредных и (или) опасных условиях труда в рублях:</w:t>
      </w:r>
    </w:p>
    <w:p>
      <w:pPr>
        <w:pStyle w:val="0"/>
        <w:jc w:val="both"/>
      </w:pPr>
      <w:r>
        <w:rPr>
          <w:sz w:val="20"/>
        </w:rPr>
      </w:r>
    </w:p>
    <w:p>
      <w:pPr>
        <w:pStyle w:val="0"/>
        <w:jc w:val="center"/>
      </w:pPr>
      <w:r>
        <w:rPr>
          <w:position w:val="-4"/>
        </w:rPr>
        <w:drawing>
          <wp:inline distT="0" distB="0" distL="0" distR="0">
            <wp:extent cx="8763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3">
                      <a:extLst>
                        <a:ext uri="{28A0092B-C50C-407E-A947-70E740481C1C}">
                          <a14:useLocalDpi xmlns:a14="http://schemas.microsoft.com/office/drawing/2010/main" val="0"/>
                        </a:ext>
                      </a:extLst>
                    </a:blip>
                    <a:srcRect/>
                    <a:stretch>
                      <a:fillRect/>
                    </a:stretch>
                  </pic:blipFill>
                  <pic:spPr bwMode="auto">
                    <a:xfrm>
                      <a:off x="0" y="0"/>
                      <a:ext cx="876300" cy="1809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Предотвращенный ущерб от производственного травматизма и профессиональных заболеваний состоит из прямой </w:t>
      </w: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и косвенной </w:t>
      </w:r>
      <w:r>
        <w:rPr>
          <w:position w:val="-10"/>
        </w:rPr>
        <w:drawing>
          <wp:inline distT="0" distB="0" distL="0" distR="0">
            <wp:extent cx="409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Pr>
          <w:sz w:val="20"/>
        </w:rPr>
        <w:t xml:space="preserve"> экономии от сокращения несчастных случаев на производстве и профессиональных заболеваний в рублях:</w:t>
      </w:r>
    </w:p>
    <w:p>
      <w:pPr>
        <w:pStyle w:val="0"/>
        <w:jc w:val="both"/>
      </w:pPr>
      <w:r>
        <w:rPr>
          <w:sz w:val="20"/>
        </w:rPr>
      </w:r>
    </w:p>
    <w:p>
      <w:pPr>
        <w:pStyle w:val="0"/>
        <w:jc w:val="center"/>
      </w:pPr>
      <w:r>
        <w:rPr>
          <w:position w:val="-10"/>
        </w:rPr>
        <w:drawing>
          <wp:inline distT="0" distB="0" distL="0" distR="0">
            <wp:extent cx="13049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Прямая экономия от сокращения несчастных случаев на производстве и профессиональных заболеваний </w:t>
      </w:r>
      <w:r>
        <w:rPr>
          <w:position w:val="-10"/>
        </w:rPr>
        <w:drawing>
          <wp:inline distT="0" distB="0" distL="0" distR="0">
            <wp:extent cx="4286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Pr>
          <w:sz w:val="20"/>
        </w:rPr>
        <w:t xml:space="preserve"> рассчитывается по следующей формуле:</w:t>
      </w:r>
    </w:p>
    <w:p>
      <w:pPr>
        <w:pStyle w:val="0"/>
        <w:jc w:val="both"/>
      </w:pPr>
      <w:r>
        <w:rPr>
          <w:sz w:val="20"/>
        </w:rPr>
      </w:r>
    </w:p>
    <w:p>
      <w:pPr>
        <w:pStyle w:val="0"/>
        <w:jc w:val="center"/>
      </w:pPr>
      <w:r>
        <w:rPr>
          <w:position w:val="-10"/>
        </w:rPr>
        <w:drawing>
          <wp:inline distT="0" distB="0" distL="0" distR="0">
            <wp:extent cx="3009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3009900" cy="25717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Эвн - экономия, связанная с сокращением выплат по оплате временной нетрудоспособности в связи с несчастным случаем на производстве, руб.;</w:t>
      </w:r>
    </w:p>
    <w:p>
      <w:pPr>
        <w:pStyle w:val="0"/>
        <w:spacing w:before="200" w:line-rule="auto"/>
        <w:ind w:firstLine="540"/>
        <w:jc w:val="both"/>
      </w:pPr>
      <w:r>
        <w:rPr>
          <w:sz w:val="20"/>
        </w:rPr>
        <w:t xml:space="preserve">Эе - экономия (убытки), связанная с сокращением выплат по оплате единовременного возмещения ущерба при утрате профессиональной трудоспособности и (или) смертельном исходе в связи с несчастным случаем и профзаболеванием, руб.;</w:t>
      </w:r>
    </w:p>
    <w:p>
      <w:pPr>
        <w:pStyle w:val="0"/>
        <w:spacing w:before="200" w:line-rule="auto"/>
        <w:ind w:firstLine="540"/>
        <w:jc w:val="both"/>
      </w:pPr>
      <w:r>
        <w:rPr>
          <w:sz w:val="20"/>
        </w:rPr>
        <w:t xml:space="preserve">Эм - экономия, связанная с сокращением (ростом)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(или) профессиональными заболеваниями, руб.;</w:t>
      </w:r>
    </w:p>
    <w:p>
      <w:pPr>
        <w:pStyle w:val="0"/>
        <w:spacing w:before="200" w:line-rule="auto"/>
        <w:ind w:firstLine="540"/>
        <w:jc w:val="both"/>
      </w:pPr>
      <w:r>
        <w:rPr>
          <w:sz w:val="20"/>
        </w:rPr>
        <w:t xml:space="preserve">Эд - экономия, связанная с сокращением (ростом) выплат по оплате дополнительных расходов пострадавших (реабилитация).</w:t>
      </w:r>
    </w:p>
    <w:p>
      <w:pPr>
        <w:pStyle w:val="0"/>
        <w:spacing w:before="200" w:line-rule="auto"/>
        <w:ind w:firstLine="540"/>
        <w:jc w:val="both"/>
      </w:pPr>
      <w:r>
        <w:rPr>
          <w:sz w:val="20"/>
        </w:rPr>
        <w:t xml:space="preserve">Косвенную экономию (сокращение потерь ВРП региона из-за снижения объема выпуска продукции, связанных с травматизмом, и предоставление компенсаций занятым на тяжелых и вредных работах) рассчитывают следующим образом:</w:t>
      </w:r>
    </w:p>
    <w:p>
      <w:pPr>
        <w:pStyle w:val="0"/>
        <w:jc w:val="both"/>
      </w:pPr>
      <w:r>
        <w:rPr>
          <w:sz w:val="20"/>
        </w:rPr>
      </w:r>
    </w:p>
    <w:p>
      <w:pPr>
        <w:pStyle w:val="0"/>
        <w:jc w:val="center"/>
      </w:pPr>
      <w:r>
        <w:rPr>
          <w:position w:val="-23"/>
        </w:rPr>
        <w:drawing>
          <wp:inline distT="0" distB="0" distL="0" distR="0">
            <wp:extent cx="52863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52863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ВРП - валовый региональный продукт, руб.;</w:t>
      </w:r>
    </w:p>
    <w:p>
      <w:pPr>
        <w:pStyle w:val="0"/>
        <w:spacing w:before="200" w:line-rule="auto"/>
        <w:ind w:firstLine="540"/>
        <w:jc w:val="both"/>
      </w:pPr>
      <w:r>
        <w:rPr>
          <w:sz w:val="20"/>
        </w:rPr>
        <w:t xml:space="preserve">ЧЗ - численность занятых в экономике региона, чел.;</w:t>
      </w:r>
    </w:p>
    <w:p>
      <w:pPr>
        <w:pStyle w:val="0"/>
        <w:spacing w:before="200" w:line-rule="auto"/>
        <w:ind w:firstLine="540"/>
        <w:jc w:val="both"/>
      </w:pPr>
      <w:r>
        <w:rPr>
          <w:position w:val="-5"/>
        </w:rPr>
        <w:drawing>
          <wp:inline distT="0" distB="0" distL="0" distR="0">
            <wp:extent cx="5619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Pr>
          <w:sz w:val="20"/>
        </w:rPr>
        <w:t xml:space="preserve"> - изменение числа человеко-дней нетрудоспособности у пострадавших с утратой трудоспособности на один день и более, чел./дн.;</w:t>
      </w:r>
    </w:p>
    <w:p>
      <w:pPr>
        <w:pStyle w:val="0"/>
        <w:spacing w:before="200" w:line-rule="auto"/>
        <w:ind w:firstLine="540"/>
        <w:jc w:val="both"/>
      </w:pPr>
      <w:r>
        <w:rPr>
          <w:position w:val="-4"/>
        </w:rPr>
        <w:drawing>
          <wp:inline distT="0" distB="0" distL="0" distR="0">
            <wp:extent cx="5619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Pr>
          <w:sz w:val="20"/>
        </w:rPr>
        <w:t xml:space="preserve"> - изменение численности пострадавших от несчастных случаев на производстве со смертельным исходом, чел.;</w:t>
      </w:r>
    </w:p>
    <w:p>
      <w:pPr>
        <w:pStyle w:val="0"/>
        <w:spacing w:before="200" w:line-rule="auto"/>
        <w:ind w:firstLine="540"/>
        <w:jc w:val="both"/>
      </w:pPr>
      <w:r>
        <w:rPr>
          <w:sz w:val="20"/>
        </w:rPr>
        <w:t xml:space="preserve">6000 - коэффициент, учитывающий потерю рабочего времени в связи со смертью пострадавшего в результате несчастного случая в последующие годы;</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изменение численности лиц, которым предоставляется компенсация в виде дополнительного отпуска, чел.;</w:t>
      </w:r>
    </w:p>
    <w:p>
      <w:pPr>
        <w:pStyle w:val="0"/>
        <w:spacing w:before="200" w:line-rule="auto"/>
        <w:ind w:firstLine="540"/>
        <w:jc w:val="both"/>
      </w:pPr>
      <w:r>
        <w:rPr>
          <w:position w:val="-8"/>
        </w:rPr>
        <w:drawing>
          <wp:inline distT="0" distB="0" distL="0" distR="0">
            <wp:extent cx="6381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Pr>
          <w:sz w:val="20"/>
        </w:rPr>
        <w:t xml:space="preserve"> - изменение численности лиц, которым предоставляется компенсация в виде сокращенного рабочего дня, чел.;</w:t>
      </w:r>
    </w:p>
    <w:p>
      <w:pPr>
        <w:pStyle w:val="0"/>
        <w:spacing w:before="200" w:line-rule="auto"/>
        <w:ind w:firstLine="540"/>
        <w:jc w:val="both"/>
      </w:pPr>
      <w:r>
        <w:rPr>
          <w:sz w:val="20"/>
        </w:rPr>
        <w:t xml:space="preserve">0,1 - коэффициент, учитывающий потерю рабочего времени, связанную с предоставлением сокращенного рабочего дня.</w:t>
      </w:r>
    </w:p>
    <w:p>
      <w:pPr>
        <w:pStyle w:val="0"/>
        <w:spacing w:before="200" w:line-rule="auto"/>
        <w:ind w:firstLine="540"/>
        <w:jc w:val="both"/>
      </w:pPr>
      <w:r>
        <w:rPr>
          <w:sz w:val="20"/>
        </w:rPr>
        <w:t xml:space="preserve">Примечание. Данные по валовому региональному продукту и численности занятых берутся за отчетный год. Изменение остальных показателей рассчитывается путем вычитания из их значений в отчетном году их значений в базовом.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1978" w:name="P1978"/>
    <w:bookmarkEnd w:id="1978"/>
    <w:p>
      <w:pPr>
        <w:pStyle w:val="2"/>
        <w:jc w:val="center"/>
      </w:pPr>
      <w:r>
        <w:rPr>
          <w:sz w:val="20"/>
        </w:rPr>
        <w:t xml:space="preserve">ПОРЯДОК</w:t>
      </w:r>
    </w:p>
    <w:p>
      <w:pPr>
        <w:pStyle w:val="2"/>
        <w:jc w:val="center"/>
      </w:pPr>
      <w:r>
        <w:rPr>
          <w:sz w:val="20"/>
        </w:rPr>
        <w:t xml:space="preserve">ПРЕДОСТАВЛЕНИЯ СУБВЕНЦИЙ ИЗ БЮДЖЕТА ХАНТЫ-МАНСИЙСКОГО</w:t>
      </w:r>
    </w:p>
    <w:p>
      <w:pPr>
        <w:pStyle w:val="2"/>
        <w:jc w:val="center"/>
      </w:pPr>
      <w:r>
        <w:rPr>
          <w:sz w:val="20"/>
        </w:rPr>
        <w:t xml:space="preserve">АВТОНОМНОГО ОКРУГА - ЮГРЫ БЮДЖЕТАМ МУНИЦИПАЛЬНЫХ РАЙОНОВ</w:t>
      </w:r>
    </w:p>
    <w:p>
      <w:pPr>
        <w:pStyle w:val="2"/>
        <w:jc w:val="center"/>
      </w:pPr>
      <w:r>
        <w:rPr>
          <w:sz w:val="20"/>
        </w:rPr>
        <w:t xml:space="preserve">И ГОРОДСКИХ ОКРУГОВ ХАНТЫ-МАНСИЙСКОГО АВТОНОМНОГО ОКРУГА -</w:t>
      </w:r>
    </w:p>
    <w:p>
      <w:pPr>
        <w:pStyle w:val="2"/>
        <w:jc w:val="center"/>
      </w:pPr>
      <w:r>
        <w:rPr>
          <w:sz w:val="20"/>
        </w:rPr>
        <w:t xml:space="preserve">ЮГРЫ ДЛЯ ОСУЩЕСТВЛЕНИЯ ПЕРЕДАННЫХ ОРГАНАМ МЕСТНОГО</w:t>
      </w:r>
    </w:p>
    <w:p>
      <w:pPr>
        <w:pStyle w:val="2"/>
        <w:jc w:val="center"/>
      </w:pPr>
      <w:r>
        <w:rPr>
          <w:sz w:val="20"/>
        </w:rPr>
        <w:t xml:space="preserve">САМОУПРАВЛЕНИЯ МУНИЦИПАЛЬНЫХ ОБРАЗОВАНИЙ ХАНТЫ-МАНСИЙСКОГО</w:t>
      </w:r>
    </w:p>
    <w:p>
      <w:pPr>
        <w:pStyle w:val="2"/>
        <w:jc w:val="center"/>
      </w:pPr>
      <w:r>
        <w:rPr>
          <w:sz w:val="20"/>
        </w:rPr>
        <w:t xml:space="preserve">АВТОНОМНОГО ОКРУГА - ЮГРЫ ОТДЕЛЬНЫХ ГОСУДАРСТВЕННЫХ</w:t>
      </w:r>
    </w:p>
    <w:p>
      <w:pPr>
        <w:pStyle w:val="2"/>
        <w:jc w:val="center"/>
      </w:pPr>
      <w:r>
        <w:rPr>
          <w:sz w:val="20"/>
        </w:rPr>
        <w:t xml:space="preserve">ПОЛНОМОЧИЙ В СФЕРЕ ТРУДОВЫХ ОТНОШЕНИЙ И ГОСУДАРСТВЕННОГО</w:t>
      </w:r>
    </w:p>
    <w:p>
      <w:pPr>
        <w:pStyle w:val="2"/>
        <w:jc w:val="center"/>
      </w:pPr>
      <w:r>
        <w:rPr>
          <w:sz w:val="20"/>
        </w:rPr>
        <w:t xml:space="preserve">УПРАВЛЕНИЯ ОХРАНОЙ ТРУДА (ДАЛЕЕ - ПОРЯДОК)</w:t>
      </w:r>
    </w:p>
    <w:p>
      <w:pPr>
        <w:pStyle w:val="0"/>
        <w:jc w:val="both"/>
      </w:pPr>
      <w:r>
        <w:rPr>
          <w:sz w:val="20"/>
        </w:rPr>
      </w:r>
    </w:p>
    <w:p>
      <w:pPr>
        <w:pStyle w:val="0"/>
        <w:ind w:firstLine="540"/>
        <w:jc w:val="both"/>
      </w:pPr>
      <w:r>
        <w:rPr>
          <w:sz w:val="20"/>
        </w:rPr>
        <w:t xml:space="preserve">1. Порядок определяет условия предоставления субвенций из бюджета Ханты-Мансийского автономного округа - Югры (далее - автономный округ) бюджетам муниципальных районов и городских округов автономного округа (далее - муниципальные образования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трудовых отношений и государственного управления охраной труда (далее - субвенции, переданные государственные полномочия) по основному </w:t>
      </w:r>
      <w:hyperlink w:history="0" r:id="rId17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мероприятию 2.7</w:t>
        </w:r>
      </w:hyperlink>
      <w:r>
        <w:rPr>
          <w:sz w:val="20"/>
        </w:rPr>
        <w:t xml:space="preserve"> "Предоставление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подпрограммы 2 "Улучшение условий и охраны труда в автономном округе" государственной программы автономного округа "Поддержка занятости населения", утвержденной постановлением Правительства автономного округа от 31 октября 2021 года N 472-п.</w:t>
      </w:r>
    </w:p>
    <w:p>
      <w:pPr>
        <w:pStyle w:val="0"/>
        <w:spacing w:before="200" w:line-rule="auto"/>
        <w:ind w:firstLine="540"/>
        <w:jc w:val="both"/>
      </w:pPr>
      <w:r>
        <w:rPr>
          <w:sz w:val="20"/>
        </w:rPr>
        <w:t xml:space="preserve">2. Субвенции предоставляются муниципальным образованиям автономного округа ежемесячно в пределах бюджетных ассигнований, рассчитанных в соответствии с методикой расчета объема субвенций, установленной </w:t>
      </w:r>
      <w:hyperlink w:history="0" r:id="rId175" w:tooltip="Закон ХМАО - Югры от 27.05.2011 N 57-оз (ред. от 27.10.2022) &quo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quot; (принят Думой Ханты-Мансийского автономного округа - Югры 27.05.2011) (с изм. и доп., вступающими в силу с 01.01.2023) {КонсультантПлюс}">
        <w:r>
          <w:rPr>
            <w:sz w:val="20"/>
            <w:color w:val="0000ff"/>
          </w:rPr>
          <w:t xml:space="preserve">Законом</w:t>
        </w:r>
      </w:hyperlink>
      <w:r>
        <w:rPr>
          <w:sz w:val="20"/>
        </w:rPr>
        <w:t xml:space="preserve"> автономного округа от 27 мая 2011 года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предусмотренных законом о бюджете автономного округа на очередной финансовый год и плановый период и утвержденных лимитов бюджетных обязательств в соответствии со сводной бюджетной росписью бюджета автономного округа.</w:t>
      </w:r>
    </w:p>
    <w:p>
      <w:pPr>
        <w:pStyle w:val="0"/>
        <w:spacing w:before="200" w:line-rule="auto"/>
        <w:ind w:firstLine="540"/>
        <w:jc w:val="both"/>
      </w:pPr>
      <w:r>
        <w:rPr>
          <w:sz w:val="20"/>
        </w:rPr>
        <w:t xml:space="preserve">3. Перечисление субвенций осуществляется на казначейский счет для осуществления операций по учету и распределению поступлений, открытый Управлению Федерального казначейства по автономному округу, в установленном порядке на основании заявки на финансирование муниципальных образований автономного округа, предоставляемой Департаментом труда и занятости населения автономного округа (далее - Департамент) в Департамент финансов автономного округа ежемесячно в срок не позднее 25-го числа текущего месяца на следующий месяц.</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ежемесячно в срок до 20-го числа месяца, предшествующего перечислению субвенций, представляют в адрес Департамента заявки на финансирование по форме, определенной Департаментом, за подписью главы муниципального образования автономного округа или лица, его замещающего, или руководителя (заместителя руководителя) финансового органа муниципального образования автономного округа.</w:t>
      </w:r>
    </w:p>
    <w:p>
      <w:pPr>
        <w:pStyle w:val="0"/>
        <w:spacing w:before="200" w:line-rule="auto"/>
        <w:ind w:firstLine="540"/>
        <w:jc w:val="both"/>
      </w:pPr>
      <w:r>
        <w:rPr>
          <w:sz w:val="20"/>
        </w:rPr>
        <w:t xml:space="preserve">4. Субвенции расходуются в соответствии с порядком применения классификации операций сектора государственного управления, установленным Министерством финансов Российской Федерации, по направлениям, установленным Департаментом финансов автономного округа, за исключением приобретения автотранспорта при направлении расходов на увеличение стоимости основных средств (на данное направление субвенции не расходуются).</w:t>
      </w:r>
    </w:p>
    <w:p>
      <w:pPr>
        <w:pStyle w:val="0"/>
        <w:spacing w:before="200" w:line-rule="auto"/>
        <w:ind w:firstLine="540"/>
        <w:jc w:val="both"/>
      </w:pPr>
      <w:r>
        <w:rPr>
          <w:sz w:val="20"/>
        </w:rPr>
        <w:t xml:space="preserve">5. Отчетность по исполнению субвенций представляют финансовые органы местного самоуправления муниципальных образований автономного округа по формам и в сроки, установленные Министерством финансов Российской Федерации и Департаментом финансов автономного округа для представления отчетности об исполнении бюджетов муниципальных образований автономного округа.</w:t>
      </w:r>
    </w:p>
    <w:p>
      <w:pPr>
        <w:pStyle w:val="0"/>
        <w:spacing w:before="200" w:line-rule="auto"/>
        <w:ind w:firstLine="540"/>
        <w:jc w:val="both"/>
      </w:pPr>
      <w:r>
        <w:rPr>
          <w:sz w:val="20"/>
        </w:rPr>
        <w:t xml:space="preserve">6. Департамент ежеквартально представляет в Департамент финансов автономного округа в установленные им сроки сводный анализ о расходовании предоставленных субвенций в разрезе муниципальных образований автономного округа.</w:t>
      </w:r>
    </w:p>
    <w:p>
      <w:pPr>
        <w:pStyle w:val="0"/>
        <w:spacing w:before="200" w:line-rule="auto"/>
        <w:ind w:firstLine="540"/>
        <w:jc w:val="both"/>
      </w:pPr>
      <w:r>
        <w:rPr>
          <w:sz w:val="20"/>
        </w:rPr>
        <w:t xml:space="preserve">7. За нецелевое использование субвенций органы местного самоуправления муниципальных образований автономного округа несут ответственность согласно законодательству Российской Федерации.</w:t>
      </w:r>
    </w:p>
    <w:p>
      <w:pPr>
        <w:pStyle w:val="0"/>
        <w:spacing w:before="200" w:line-rule="auto"/>
        <w:ind w:firstLine="540"/>
        <w:jc w:val="both"/>
      </w:pPr>
      <w:r>
        <w:rPr>
          <w:sz w:val="20"/>
        </w:rPr>
        <w:t xml:space="preserve">8. Контроль целевого использования субвенций осуществляют Департамент и иные органы государственной власти автономного округа, на которые возложены функции контроля и надзора в финансово-бюджетной сфере.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2008" w:name="P2008"/>
    <w:bookmarkEnd w:id="2008"/>
    <w:p>
      <w:pPr>
        <w:pStyle w:val="2"/>
        <w:jc w:val="center"/>
      </w:pPr>
      <w:r>
        <w:rPr>
          <w:sz w:val="20"/>
        </w:rPr>
        <w:t xml:space="preserve">ИНФОРМАЦИЯ</w:t>
      </w:r>
    </w:p>
    <w:p>
      <w:pPr>
        <w:pStyle w:val="2"/>
        <w:jc w:val="center"/>
      </w:pPr>
      <w:r>
        <w:rPr>
          <w:sz w:val="20"/>
        </w:rPr>
        <w:t xml:space="preserve">О РАБОТОДАТЕЛЯХ, ВКЛЮЧЕННЫХ В ПОДПРОГРАММУ 3 "ПОВЫШЕНИЕ</w:t>
      </w:r>
    </w:p>
    <w:p>
      <w:pPr>
        <w:pStyle w:val="2"/>
        <w:jc w:val="center"/>
      </w:pPr>
      <w:r>
        <w:rPr>
          <w:sz w:val="20"/>
        </w:rPr>
        <w:t xml:space="preserve">МОБИЛЬНОСТИ ТРУДОВЫХ РЕСУРСОВ В АВТОНОМНОМ ОКРУГЕ"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29"/>
        <w:gridCol w:w="3742"/>
      </w:tblGrid>
      <w:tr>
        <w:tc>
          <w:tcPr>
            <w:tcW w:w="5329" w:type="dxa"/>
          </w:tcPr>
          <w:p>
            <w:pPr>
              <w:pStyle w:val="0"/>
              <w:jc w:val="center"/>
            </w:pPr>
            <w:r>
              <w:rPr>
                <w:sz w:val="20"/>
              </w:rPr>
              <w:t xml:space="preserve">Наименование показателя</w:t>
            </w:r>
          </w:p>
        </w:tc>
        <w:tc>
          <w:tcPr>
            <w:tcW w:w="3742" w:type="dxa"/>
          </w:tcPr>
          <w:p>
            <w:pPr>
              <w:pStyle w:val="0"/>
              <w:jc w:val="center"/>
            </w:pPr>
            <w:r>
              <w:rPr>
                <w:sz w:val="20"/>
              </w:rPr>
              <w:t xml:space="preserve">Краткая характеристика</w:t>
            </w:r>
          </w:p>
        </w:tc>
      </w:tr>
      <w:tr>
        <w:tc>
          <w:tcPr>
            <w:tcW w:w="5329" w:type="dxa"/>
          </w:tcPr>
          <w:p>
            <w:pPr>
              <w:pStyle w:val="0"/>
            </w:pPr>
            <w:r>
              <w:rPr>
                <w:sz w:val="20"/>
              </w:rPr>
              <w:t xml:space="preserve">Наименование работодателя, ИНН, основной государственный регистрационный номер записи о создании юридического лица, юридический и фактический адрес, контактная информация: Ф.И.О. руководителя, телефон, E-mail)</w:t>
            </w:r>
          </w:p>
        </w:tc>
        <w:tc>
          <w:tcPr>
            <w:tcW w:w="3742" w:type="dxa"/>
          </w:tcPr>
          <w:p>
            <w:pPr>
              <w:pStyle w:val="0"/>
            </w:pPr>
            <w:r>
              <w:rPr>
                <w:sz w:val="20"/>
              </w:rPr>
              <w:t xml:space="preserve">Бюджетное учреждение Ханты-Мансийского автономного округа - Югры "Сургутский клинический перинатальный центр", ИНН 8602000806, ОГРН 1028600614822, г. Сургут, ул. Губкина, дом 1, контактная информация: Белоцерковцева Лариса Дмитриевна - главный врач (3462) 52-97-78, E-mail: info@surgut-kpc.ru</w:t>
            </w:r>
          </w:p>
        </w:tc>
      </w:tr>
      <w:tr>
        <w:tc>
          <w:tcPr>
            <w:tcW w:w="5329" w:type="dxa"/>
          </w:tcPr>
          <w:p>
            <w:pPr>
              <w:pStyle w:val="0"/>
            </w:pPr>
            <w:r>
              <w:rPr>
                <w:sz w:val="20"/>
              </w:rPr>
              <w:t xml:space="preserve">Численность необходимых трудовых ресурсов, привлекаемых для трудоустройства на условиях подпрограммы 3 "Повышение мобильности трудовых ресурсов в автономном округе" в разрезе профессий, человек</w:t>
            </w:r>
          </w:p>
        </w:tc>
        <w:tc>
          <w:tcPr>
            <w:tcW w:w="3742" w:type="dxa"/>
          </w:tcPr>
          <w:p>
            <w:pPr>
              <w:pStyle w:val="0"/>
            </w:pPr>
            <w:r>
              <w:rPr>
                <w:sz w:val="20"/>
              </w:rPr>
              <w:t xml:space="preserve">150 человек</w:t>
            </w:r>
          </w:p>
        </w:tc>
      </w:tr>
      <w:tr>
        <w:tc>
          <w:tcPr>
            <w:tcW w:w="5329" w:type="dxa"/>
          </w:tcPr>
          <w:p>
            <w:pPr>
              <w:pStyle w:val="0"/>
            </w:pPr>
            <w:r>
              <w:rPr>
                <w:sz w:val="20"/>
              </w:rPr>
              <w:t xml:space="preserve">Оценка необходимости профессионального обучения и дополнительного профессионального образования граждан, привлекаемых для трудоустройства на условиях подпрограммы 3 "Повышение мобильности трудовых ресурсов в автономном округе" в разрезе профессий, человек</w:t>
            </w:r>
          </w:p>
        </w:tc>
        <w:tc>
          <w:tcPr>
            <w:tcW w:w="3742" w:type="dxa"/>
          </w:tcPr>
          <w:p>
            <w:pPr>
              <w:pStyle w:val="0"/>
            </w:pPr>
            <w:r>
              <w:rPr>
                <w:sz w:val="20"/>
              </w:rPr>
              <w:t xml:space="preserve">отсутствуют</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2031" w:name="P2031"/>
    <w:bookmarkEnd w:id="2031"/>
    <w:p>
      <w:pPr>
        <w:pStyle w:val="2"/>
        <w:jc w:val="center"/>
      </w:pPr>
      <w:r>
        <w:rPr>
          <w:sz w:val="20"/>
        </w:rPr>
        <w:t xml:space="preserve">ПОРЯДОК</w:t>
      </w:r>
    </w:p>
    <w:p>
      <w:pPr>
        <w:pStyle w:val="2"/>
        <w:jc w:val="center"/>
      </w:pPr>
      <w:r>
        <w:rPr>
          <w:sz w:val="20"/>
        </w:rPr>
        <w:t xml:space="preserve">ПРЕДОСТАВЛЕНИЯ ЕДИНОВРЕМЕННОЙ ФИНАНСОВОЙ ПОМОЩИ</w:t>
      </w:r>
    </w:p>
    <w:p>
      <w:pPr>
        <w:pStyle w:val="2"/>
        <w:jc w:val="center"/>
      </w:pPr>
      <w:r>
        <w:rPr>
          <w:sz w:val="20"/>
        </w:rPr>
        <w:t xml:space="preserve">ПРИ ГОСУДАРСТВЕННОЙ РЕГИСТРАЦИИ В КАЧЕСТВЕ ИНДИВИДУАЛЬНОГО</w:t>
      </w:r>
    </w:p>
    <w:p>
      <w:pPr>
        <w:pStyle w:val="2"/>
        <w:jc w:val="center"/>
      </w:pPr>
      <w:r>
        <w:rPr>
          <w:sz w:val="20"/>
        </w:rPr>
        <w:t xml:space="preserve">ПРЕДПРИНИМАТЕЛЯ, ГОСУДАРСТВЕННОЙ РЕГИСТРАЦИИ СОЗДАВАЕМОГО</w:t>
      </w:r>
    </w:p>
    <w:p>
      <w:pPr>
        <w:pStyle w:val="2"/>
        <w:jc w:val="center"/>
      </w:pPr>
      <w:r>
        <w:rPr>
          <w:sz w:val="20"/>
        </w:rPr>
        <w:t xml:space="preserve">ЮРИДИЧЕСКОГО ЛИЦА, ГОСУДАРСТВЕННОЙ РЕГИСТРАЦИИ КРЕСТЬЯНСКОГО</w:t>
      </w:r>
    </w:p>
    <w:p>
      <w:pPr>
        <w:pStyle w:val="2"/>
        <w:jc w:val="center"/>
      </w:pPr>
      <w:r>
        <w:rPr>
          <w:sz w:val="20"/>
        </w:rPr>
        <w:t xml:space="preserve">(ФЕРМЕРСКОГО) ХОЗЯЙСТВА, ПОСТАНОВКЕ НА УЧЕТ ФИЗИЧЕСКОГО ЛИЦА</w:t>
      </w:r>
    </w:p>
    <w:p>
      <w:pPr>
        <w:pStyle w:val="2"/>
        <w:jc w:val="center"/>
      </w:pPr>
      <w:r>
        <w:rPr>
          <w:sz w:val="20"/>
        </w:rPr>
        <w:t xml:space="preserve">В КАЧЕСТВЕ НАЛОГОПЛАТЕЛЬЩИКА НАЛОГА НА ПРОФЕССИОНАЛЬНЫЙ</w:t>
      </w:r>
    </w:p>
    <w:p>
      <w:pPr>
        <w:pStyle w:val="2"/>
        <w:jc w:val="center"/>
      </w:pPr>
      <w:r>
        <w:rPr>
          <w:sz w:val="20"/>
        </w:rPr>
        <w:t xml:space="preserve">ДОХОД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01.04.2022 </w:t>
            </w:r>
            <w:hyperlink w:history="0" r:id="rId176"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118-п</w:t>
              </w:r>
            </w:hyperlink>
            <w:r>
              <w:rPr>
                <w:sz w:val="20"/>
                <w:color w:val="392c69"/>
              </w:rPr>
              <w:t xml:space="preserve">,</w:t>
            </w:r>
          </w:p>
          <w:p>
            <w:pPr>
              <w:pStyle w:val="0"/>
              <w:jc w:val="center"/>
            </w:pPr>
            <w:r>
              <w:rPr>
                <w:sz w:val="20"/>
                <w:color w:val="392c69"/>
              </w:rPr>
              <w:t xml:space="preserve">от 18.11.2022 </w:t>
            </w:r>
            <w:hyperlink w:history="0" r:id="rId177"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609-п</w:t>
              </w:r>
            </w:hyperlink>
            <w:r>
              <w:rPr>
                <w:sz w:val="20"/>
                <w:color w:val="392c69"/>
              </w:rPr>
              <w:t xml:space="preserve">, от 14.07.2023 </w:t>
            </w:r>
            <w:hyperlink w:history="0" r:id="rId178"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331-п</w:t>
              </w:r>
            </w:hyperlink>
            <w:r>
              <w:rPr>
                <w:sz w:val="20"/>
                <w:color w:val="392c69"/>
              </w:rPr>
              <w:t xml:space="preserve">, от 04.08.2023 </w:t>
            </w:r>
            <w:hyperlink w:history="0" r:id="rId179"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377-п</w:t>
              </w:r>
            </w:hyperlink>
            <w:r>
              <w:rPr>
                <w:sz w:val="20"/>
                <w:color w:val="392c69"/>
              </w:rPr>
              <w:t xml:space="preserve">,</w:t>
            </w:r>
          </w:p>
          <w:p>
            <w:pPr>
              <w:pStyle w:val="0"/>
              <w:jc w:val="center"/>
            </w:pPr>
            <w:r>
              <w:rPr>
                <w:sz w:val="20"/>
                <w:color w:val="392c69"/>
              </w:rPr>
              <w:t xml:space="preserve">от 13.10.2023 </w:t>
            </w:r>
            <w:hyperlink w:history="0" r:id="rId180"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bookmarkStart w:id="2046" w:name="P2046"/>
    <w:bookmarkEnd w:id="2046"/>
    <w:p>
      <w:pPr>
        <w:pStyle w:val="0"/>
        <w:ind w:firstLine="540"/>
        <w:jc w:val="both"/>
      </w:pPr>
      <w:r>
        <w:rPr>
          <w:sz w:val="20"/>
        </w:rPr>
        <w:t xml:space="preserve">1.1. Порядок определяет размер и условия предоставления единовременной финансовой помощи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по направлениям государственной </w:t>
      </w:r>
      <w:hyperlink w:history="0" r:id="rId18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программы</w:t>
        </w:r>
      </w:hyperlink>
      <w:r>
        <w:rPr>
          <w:sz w:val="20"/>
        </w:rPr>
        <w:t xml:space="preserve">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мероприятие):</w:t>
      </w:r>
    </w:p>
    <w:p>
      <w:pPr>
        <w:pStyle w:val="0"/>
        <w:spacing w:before="200" w:line-rule="auto"/>
        <w:ind w:firstLine="540"/>
        <w:jc w:val="both"/>
      </w:pPr>
      <w:r>
        <w:rPr>
          <w:sz w:val="20"/>
        </w:rPr>
        <w:t xml:space="preserve">"Содействие началу осуществления предпринимательской деятельности отдельных категорий граждан, в том числе представителей коренных малочисленных народов Севера, постоянно проживающих в местах их традиционного проживания и традиционной хозяйственной деятельности" (основное </w:t>
      </w:r>
      <w:hyperlink w:history="0" r:id="rId18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w:t>
      </w:r>
    </w:p>
    <w:p>
      <w:pPr>
        <w:pStyle w:val="0"/>
        <w:spacing w:before="200" w:line-rule="auto"/>
        <w:ind w:firstLine="540"/>
        <w:jc w:val="both"/>
      </w:pPr>
      <w:r>
        <w:rPr>
          <w:sz w:val="20"/>
        </w:rPr>
        <w:t xml:space="preserve">"Содействие началу осуществления предпринимательской деятельности инвалидов, признанных в установленном порядке безработными" (основное </w:t>
      </w:r>
      <w:hyperlink w:history="0" r:id="rId18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4.1</w:t>
        </w:r>
      </w:hyperlink>
      <w:r>
        <w:rPr>
          <w:sz w:val="20"/>
        </w:rP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w:t>
      </w:r>
    </w:p>
    <w:p>
      <w:pPr>
        <w:pStyle w:val="0"/>
        <w:spacing w:before="200" w:line-rule="auto"/>
        <w:ind w:firstLine="540"/>
        <w:jc w:val="both"/>
      </w:pPr>
      <w:r>
        <w:rPr>
          <w:sz w:val="20"/>
        </w:rPr>
        <w:t xml:space="preserve">1.2. Финансовое обеспечение мероприятий, указанных в </w:t>
      </w:r>
      <w:hyperlink w:history="0" w:anchor="P2046" w:tooltip="1.1. Порядок определяет размер и условия предоставления единовременной финансовой помощи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о направлениям государственной программы Ханты-Мансийского автономного округа - Югры &quot;Поддержка занятости на...">
        <w:r>
          <w:rPr>
            <w:sz w:val="20"/>
            <w:color w:val="0000ff"/>
          </w:rPr>
          <w:t xml:space="preserve">пункте 1.1</w:t>
        </w:r>
      </w:hyperlink>
      <w:r>
        <w:rPr>
          <w:sz w:val="20"/>
        </w:rPr>
        <w:t xml:space="preserve"> Порядка (далее - мероприятия),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1.3. В Порядке используются следующие основные понятия и сокращения:</w:t>
      </w:r>
    </w:p>
    <w:p>
      <w:pPr>
        <w:pStyle w:val="0"/>
        <w:spacing w:before="200" w:line-rule="auto"/>
        <w:ind w:firstLine="540"/>
        <w:jc w:val="both"/>
      </w:pPr>
      <w:r>
        <w:rPr>
          <w:sz w:val="20"/>
        </w:rPr>
        <w:t xml:space="preserve">автономный округ - Ханты-Мансийский автономный округ - Югра;</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гражданин - гражданин, признанный в установленном порядке безработным, и гражданин, признанный в установленном порядке безработным и прошедший профессиональное обучение или получивший дополнительное профессиональное образование по направлению центра занятости населения, а также гражданин, зарегистрированный в целях поиска подходящей работы и отнесенный к одной из категорий, предусмотренных </w:t>
      </w:r>
      <w:hyperlink w:history="0" r:id="rId184" w:tooltip="Постановление Правительства РФ от 16.03.2022 N 376 (ред. от 29.05.2023)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постановлением</w:t>
        </w:r>
      </w:hyperlink>
      <w:r>
        <w:rPr>
          <w:sz w:val="20"/>
        </w:rPr>
        <w:t xml:space="preserve"> Правительства Российской Федерации от 16 марта 2022 года N 376 "Об особенностях организации предоставления государственных услуг в сфере занятости населения в 2022 и 2023 годах";</w:t>
      </w:r>
    </w:p>
    <w:p>
      <w:pPr>
        <w:pStyle w:val="0"/>
        <w:jc w:val="both"/>
      </w:pPr>
      <w:r>
        <w:rPr>
          <w:sz w:val="20"/>
        </w:rPr>
        <w:t xml:space="preserve">(в ред. постановлений Правительства ХМАО - Югры от 01.04.2022 </w:t>
      </w:r>
      <w:hyperlink w:history="0" r:id="rId185"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118-п</w:t>
        </w:r>
      </w:hyperlink>
      <w:r>
        <w:rPr>
          <w:sz w:val="20"/>
        </w:rPr>
        <w:t xml:space="preserve">, от 04.08.2023 </w:t>
      </w:r>
      <w:hyperlink w:history="0" r:id="rId186"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377-п</w:t>
        </w:r>
      </w:hyperlink>
      <w:r>
        <w:rPr>
          <w:sz w:val="20"/>
        </w:rPr>
        <w:t xml:space="preserve">)</w:t>
      </w:r>
    </w:p>
    <w:p>
      <w:pPr>
        <w:pStyle w:val="0"/>
        <w:spacing w:before="200" w:line-rule="auto"/>
        <w:ind w:firstLine="540"/>
        <w:jc w:val="both"/>
      </w:pPr>
      <w:r>
        <w:rPr>
          <w:sz w:val="20"/>
        </w:rPr>
        <w:t xml:space="preserve">единовременная финансовая помощь - единовременная финансовая помощь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государственная услуга по содействию самозанятости безработных граждан - государственная услуга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организация собственного дела -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w:t>
      </w:r>
    </w:p>
    <w:p>
      <w:pPr>
        <w:pStyle w:val="0"/>
        <w:jc w:val="both"/>
      </w:pPr>
      <w:r>
        <w:rPr>
          <w:sz w:val="20"/>
        </w:rPr>
      </w:r>
    </w:p>
    <w:p>
      <w:pPr>
        <w:pStyle w:val="2"/>
        <w:outlineLvl w:val="1"/>
        <w:jc w:val="center"/>
      </w:pPr>
      <w:r>
        <w:rPr>
          <w:sz w:val="20"/>
        </w:rPr>
        <w:t xml:space="preserve">II. УЧАСТНИКИ МЕРОПРИЯТИЯ</w:t>
      </w:r>
    </w:p>
    <w:p>
      <w:pPr>
        <w:pStyle w:val="0"/>
        <w:jc w:val="both"/>
      </w:pPr>
      <w:r>
        <w:rPr>
          <w:sz w:val="20"/>
        </w:rPr>
      </w:r>
    </w:p>
    <w:p>
      <w:pPr>
        <w:pStyle w:val="0"/>
        <w:ind w:firstLine="540"/>
        <w:jc w:val="both"/>
      </w:pPr>
      <w:r>
        <w:rPr>
          <w:sz w:val="20"/>
        </w:rPr>
        <w:t xml:space="preserve">2.1. Участниками мероприятия являются:</w:t>
      </w:r>
    </w:p>
    <w:bookmarkStart w:id="2063" w:name="P2063"/>
    <w:bookmarkEnd w:id="2063"/>
    <w:p>
      <w:pPr>
        <w:pStyle w:val="0"/>
        <w:spacing w:before="200" w:line-rule="auto"/>
        <w:ind w:firstLine="540"/>
        <w:jc w:val="both"/>
      </w:pPr>
      <w:r>
        <w:rPr>
          <w:sz w:val="20"/>
        </w:rPr>
        <w:t xml:space="preserve">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w:t>
      </w:r>
    </w:p>
    <w:bookmarkStart w:id="2064" w:name="P2064"/>
    <w:bookmarkEnd w:id="2064"/>
    <w:p>
      <w:pPr>
        <w:pStyle w:val="0"/>
        <w:spacing w:before="200" w:line-rule="auto"/>
        <w:ind w:firstLine="540"/>
        <w:jc w:val="both"/>
      </w:pPr>
      <w:r>
        <w:rPr>
          <w:sz w:val="20"/>
        </w:rPr>
        <w:t xml:space="preserve">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центра занятости населения;</w:t>
      </w:r>
    </w:p>
    <w:p>
      <w:pPr>
        <w:pStyle w:val="0"/>
        <w:spacing w:before="200" w:line-rule="auto"/>
        <w:ind w:firstLine="540"/>
        <w:jc w:val="both"/>
      </w:pPr>
      <w:r>
        <w:rPr>
          <w:sz w:val="20"/>
        </w:rPr>
        <w:t xml:space="preserve">зарегистрированные в целях поиска подходящей работы:</w:t>
      </w:r>
    </w:p>
    <w:p>
      <w:pPr>
        <w:pStyle w:val="0"/>
        <w:jc w:val="both"/>
      </w:pPr>
      <w:r>
        <w:rPr>
          <w:sz w:val="20"/>
        </w:rPr>
        <w:t xml:space="preserve">(абзац введен </w:t>
      </w:r>
      <w:hyperlink w:history="0" r:id="rId187"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04.08.2023 N 377-п)</w:t>
      </w:r>
    </w:p>
    <w:bookmarkStart w:id="2067" w:name="P2067"/>
    <w:bookmarkEnd w:id="2067"/>
    <w:p>
      <w:pPr>
        <w:pStyle w:val="0"/>
        <w:spacing w:before="200" w:line-rule="auto"/>
        <w:ind w:firstLine="540"/>
        <w:jc w:val="both"/>
      </w:pPr>
      <w:r>
        <w:rPr>
          <w:sz w:val="20"/>
        </w:rPr>
        <w:t xml:space="preserve">граждане, находящиеся под риском увольнения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w:t>
      </w:r>
    </w:p>
    <w:p>
      <w:pPr>
        <w:pStyle w:val="0"/>
        <w:jc w:val="both"/>
      </w:pPr>
      <w:r>
        <w:rPr>
          <w:sz w:val="20"/>
        </w:rPr>
        <w:t xml:space="preserve">(абзац введен </w:t>
      </w:r>
      <w:hyperlink w:history="0" r:id="rId188"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w:t>
      </w:r>
    </w:p>
    <w:p>
      <w:pPr>
        <w:pStyle w:val="0"/>
        <w:spacing w:before="200" w:line-rule="auto"/>
        <w:ind w:firstLine="540"/>
        <w:jc w:val="both"/>
      </w:pPr>
      <w:r>
        <w:rPr>
          <w:sz w:val="20"/>
        </w:rPr>
        <w:t xml:space="preserve">граждане, переведенные по инициативе работодателя на работу в режим неполного рабочего дня (смены) и (или) неполной рабочей недели;</w:t>
      </w:r>
    </w:p>
    <w:p>
      <w:pPr>
        <w:pStyle w:val="0"/>
        <w:jc w:val="both"/>
      </w:pPr>
      <w:r>
        <w:rPr>
          <w:sz w:val="20"/>
        </w:rPr>
        <w:t xml:space="preserve">(абзац введен </w:t>
      </w:r>
      <w:hyperlink w:history="0" r:id="rId189"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w:t>
      </w:r>
    </w:p>
    <w:p>
      <w:pPr>
        <w:pStyle w:val="0"/>
        <w:spacing w:before="200" w:line-rule="auto"/>
        <w:ind w:firstLine="540"/>
        <w:jc w:val="both"/>
      </w:pPr>
      <w:r>
        <w:rPr>
          <w:sz w:val="20"/>
        </w:rPr>
        <w:t xml:space="preserve">граждане, состоящие в трудовых отношениях с работодателями, которые приняли решение о простое;</w:t>
      </w:r>
    </w:p>
    <w:p>
      <w:pPr>
        <w:pStyle w:val="0"/>
        <w:jc w:val="both"/>
      </w:pPr>
      <w:r>
        <w:rPr>
          <w:sz w:val="20"/>
        </w:rPr>
        <w:t xml:space="preserve">(абзац введен </w:t>
      </w:r>
      <w:hyperlink w:history="0" r:id="rId190"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w:t>
      </w:r>
    </w:p>
    <w:p>
      <w:pPr>
        <w:pStyle w:val="0"/>
        <w:spacing w:before="200" w:line-rule="auto"/>
        <w:ind w:firstLine="540"/>
        <w:jc w:val="both"/>
      </w:pPr>
      <w:r>
        <w:rPr>
          <w:sz w:val="20"/>
        </w:rPr>
        <w:t xml:space="preserve">граждане, состоящие в трудовых отношениях с работодателями, в отношении которых применены процедуры о несостоятельности (банкротстве);</w:t>
      </w:r>
    </w:p>
    <w:p>
      <w:pPr>
        <w:pStyle w:val="0"/>
        <w:jc w:val="both"/>
      </w:pPr>
      <w:r>
        <w:rPr>
          <w:sz w:val="20"/>
        </w:rPr>
        <w:t xml:space="preserve">(абзац введен </w:t>
      </w:r>
      <w:hyperlink w:history="0" r:id="rId191"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w:t>
      </w:r>
    </w:p>
    <w:p>
      <w:pPr>
        <w:pStyle w:val="0"/>
        <w:spacing w:before="200" w:line-rule="auto"/>
        <w:ind w:firstLine="540"/>
        <w:jc w:val="both"/>
      </w:pPr>
      <w:r>
        <w:rPr>
          <w:sz w:val="20"/>
        </w:rPr>
        <w:t xml:space="preserve">граждане, находящиеся в отпусках без сохранения заработной платы;</w:t>
      </w:r>
    </w:p>
    <w:p>
      <w:pPr>
        <w:pStyle w:val="0"/>
        <w:jc w:val="both"/>
      </w:pPr>
      <w:r>
        <w:rPr>
          <w:sz w:val="20"/>
        </w:rPr>
        <w:t xml:space="preserve">(абзац введен </w:t>
      </w:r>
      <w:hyperlink w:history="0" r:id="rId192"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w:t>
      </w:r>
    </w:p>
    <w:bookmarkStart w:id="2077" w:name="P2077"/>
    <w:bookmarkEnd w:id="2077"/>
    <w:p>
      <w:pPr>
        <w:pStyle w:val="0"/>
        <w:spacing w:before="200" w:line-rule="auto"/>
        <w:ind w:firstLine="540"/>
        <w:jc w:val="both"/>
      </w:pPr>
      <w:r>
        <w:rPr>
          <w:sz w:val="20"/>
        </w:rPr>
        <w:t xml:space="preserve">граждане, испытывающие трудности в поиске работы;</w:t>
      </w:r>
    </w:p>
    <w:p>
      <w:pPr>
        <w:pStyle w:val="0"/>
        <w:jc w:val="both"/>
      </w:pPr>
      <w:r>
        <w:rPr>
          <w:sz w:val="20"/>
        </w:rPr>
        <w:t xml:space="preserve">(абзац введен </w:t>
      </w:r>
      <w:hyperlink w:history="0" r:id="rId193"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w:t>
      </w:r>
    </w:p>
    <w:p>
      <w:pPr>
        <w:pStyle w:val="0"/>
        <w:spacing w:before="200" w:line-rule="auto"/>
        <w:ind w:firstLine="540"/>
        <w:jc w:val="both"/>
      </w:pPr>
      <w:r>
        <w:rPr>
          <w:sz w:val="20"/>
        </w:rPr>
        <w:t xml:space="preserve">граждане Российской Федерации, зарегистрированные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pPr>
        <w:pStyle w:val="0"/>
        <w:jc w:val="both"/>
      </w:pPr>
      <w:r>
        <w:rPr>
          <w:sz w:val="20"/>
        </w:rPr>
        <w:t xml:space="preserve">(абзац введен </w:t>
      </w:r>
      <w:hyperlink w:history="0" r:id="rId194"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04.08.2023 N 377-п)</w:t>
      </w:r>
    </w:p>
    <w:p>
      <w:pPr>
        <w:pStyle w:val="0"/>
        <w:spacing w:before="200" w:line-rule="auto"/>
        <w:ind w:firstLine="540"/>
        <w:jc w:val="both"/>
      </w:pPr>
      <w:r>
        <w:rPr>
          <w:sz w:val="20"/>
        </w:rPr>
        <w:t xml:space="preserve">граждане, имевшие до 30 сентября 2022 года гражданство Донецкой Народной Республики или Луганской Народной Республики, граждане Украины и лица без гражданства, зарегистрированные по месту жительства на территориях Донецкой Народной Республики, Луганской Народной Республики, Запорожской области или Херсонской области и обратившиеся в органы службы занятости по месту своего пребывания.</w:t>
      </w:r>
    </w:p>
    <w:p>
      <w:pPr>
        <w:pStyle w:val="0"/>
        <w:jc w:val="both"/>
      </w:pPr>
      <w:r>
        <w:rPr>
          <w:sz w:val="20"/>
        </w:rPr>
        <w:t xml:space="preserve">(абзац введен </w:t>
      </w:r>
      <w:hyperlink w:history="0" r:id="rId195"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04.08.2023 N 377-п)</w:t>
      </w:r>
    </w:p>
    <w:p>
      <w:pPr>
        <w:pStyle w:val="0"/>
        <w:jc w:val="both"/>
      </w:pPr>
      <w:r>
        <w:rPr>
          <w:sz w:val="20"/>
        </w:rPr>
      </w:r>
    </w:p>
    <w:p>
      <w:pPr>
        <w:pStyle w:val="2"/>
        <w:outlineLvl w:val="1"/>
        <w:jc w:val="center"/>
      </w:pPr>
      <w:r>
        <w:rPr>
          <w:sz w:val="20"/>
        </w:rPr>
        <w:t xml:space="preserve">III. НАЗНАЧЕНИЕ И РАЗМЕР ЕДИНОВРЕМЕННОЙ ФИНАНСОВОЙ ПОМОЩИ</w:t>
      </w:r>
    </w:p>
    <w:p>
      <w:pPr>
        <w:pStyle w:val="0"/>
        <w:jc w:val="both"/>
      </w:pPr>
      <w:r>
        <w:rPr>
          <w:sz w:val="20"/>
        </w:rPr>
      </w:r>
    </w:p>
    <w:p>
      <w:pPr>
        <w:pStyle w:val="0"/>
        <w:ind w:firstLine="540"/>
        <w:jc w:val="both"/>
      </w:pPr>
      <w:r>
        <w:rPr>
          <w:sz w:val="20"/>
        </w:rPr>
        <w:t xml:space="preserve">3.1. Единовременная финансовая помощь предоставляется на цели, предусмотренные технико-экономическим обоснованием (бизнес-планом), по направлениям расходов:</w:t>
      </w:r>
    </w:p>
    <w:p>
      <w:pPr>
        <w:pStyle w:val="0"/>
        <w:spacing w:before="200" w:line-rule="auto"/>
        <w:ind w:firstLine="540"/>
        <w:jc w:val="both"/>
      </w:pPr>
      <w:r>
        <w:rPr>
          <w:sz w:val="20"/>
        </w:rPr>
        <w:t xml:space="preserve">а) аренда нежилых помещений, используемых для осуществления предпринимательской деятельности;</w:t>
      </w:r>
    </w:p>
    <w:p>
      <w:pPr>
        <w:pStyle w:val="0"/>
        <w:spacing w:before="200" w:line-rule="auto"/>
        <w:ind w:firstLine="540"/>
        <w:jc w:val="both"/>
      </w:pPr>
      <w:r>
        <w:rPr>
          <w:sz w:val="20"/>
        </w:rPr>
        <w:t xml:space="preserve">б) текущий ремонт зданий, помещений, сооружений, используемых для осуществления предпринимательской деятельности (за исключением жилых помещений, принадлежащих на праве собственности гражданину и (или) членам его семьи), в том числе предоставленных в аренду (если обязанности по текущему ремонту возложены на арендатора условиями договора аренды), на приобретение строительных и отделочных материалов, - не более 20% от размера субсидии;</w:t>
      </w:r>
    </w:p>
    <w:p>
      <w:pPr>
        <w:pStyle w:val="0"/>
        <w:jc w:val="both"/>
      </w:pPr>
      <w:r>
        <w:rPr>
          <w:sz w:val="20"/>
        </w:rPr>
        <w:t xml:space="preserve">(в ред. </w:t>
      </w:r>
      <w:hyperlink w:history="0" r:id="rId196"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p>
      <w:pPr>
        <w:pStyle w:val="0"/>
        <w:spacing w:before="200" w:line-rule="auto"/>
        <w:ind w:firstLine="540"/>
        <w:jc w:val="both"/>
      </w:pPr>
      <w:r>
        <w:rPr>
          <w:sz w:val="20"/>
        </w:rPr>
        <w:t xml:space="preserve">в) приобретение (сборка, установка) основных средств (оборудования, мебели, инструментов, электронно-вычислительной техники, копировально-множительного оборудования, контрольно-кассовой техники, оргтехники);</w:t>
      </w:r>
    </w:p>
    <w:p>
      <w:pPr>
        <w:pStyle w:val="0"/>
        <w:spacing w:before="200" w:line-rule="auto"/>
        <w:ind w:firstLine="540"/>
        <w:jc w:val="both"/>
      </w:pPr>
      <w:r>
        <w:rPr>
          <w:sz w:val="20"/>
        </w:rPr>
        <w:t xml:space="preserve">г) приобретение инструментов, техники, инвентаря, сырья, расходных материалов, топлива, запасных частей (включая аренду инструментов, техники, инвентаря);</w:t>
      </w:r>
    </w:p>
    <w:p>
      <w:pPr>
        <w:pStyle w:val="0"/>
        <w:spacing w:before="200" w:line-rule="auto"/>
        <w:ind w:firstLine="540"/>
        <w:jc w:val="both"/>
      </w:pPr>
      <w:r>
        <w:rPr>
          <w:sz w:val="20"/>
        </w:rPr>
        <w:t xml:space="preserve">д) приобретение сельскохозяйственных животных, в том числе молодняка животных и животных на откорме, птицы и пчел (при виде экономической деятельности "сельское хозяйство");</w:t>
      </w:r>
    </w:p>
    <w:p>
      <w:pPr>
        <w:pStyle w:val="0"/>
        <w:spacing w:before="200" w:line-rule="auto"/>
        <w:ind w:firstLine="540"/>
        <w:jc w:val="both"/>
      </w:pPr>
      <w:r>
        <w:rPr>
          <w:sz w:val="20"/>
        </w:rPr>
        <w:t xml:space="preserve">е) приобретение продукции растениеводства (при виде экономической деятельности "сельское хозяйство");</w:t>
      </w:r>
    </w:p>
    <w:p>
      <w:pPr>
        <w:pStyle w:val="0"/>
        <w:spacing w:before="200" w:line-rule="auto"/>
        <w:ind w:firstLine="540"/>
        <w:jc w:val="both"/>
      </w:pPr>
      <w:r>
        <w:rPr>
          <w:sz w:val="20"/>
        </w:rPr>
        <w:t xml:space="preserve">ж) приобретение кормов, добавок, витаминов (при виде экономической деятельности "сельское хозяйство");</w:t>
      </w:r>
    </w:p>
    <w:p>
      <w:pPr>
        <w:pStyle w:val="0"/>
        <w:spacing w:before="200" w:line-rule="auto"/>
        <w:ind w:firstLine="540"/>
        <w:jc w:val="both"/>
      </w:pPr>
      <w:r>
        <w:rPr>
          <w:sz w:val="20"/>
        </w:rPr>
        <w:t xml:space="preserve">з) приобретение продуктов, сырья, инвентаря для приготовления пищи и ее (их) хранения, изделий (при виде экономической деятельности "деятельность гостиниц и предприятий общественного питания");</w:t>
      </w:r>
    </w:p>
    <w:p>
      <w:pPr>
        <w:pStyle w:val="0"/>
        <w:spacing w:before="200" w:line-rule="auto"/>
        <w:ind w:firstLine="540"/>
        <w:jc w:val="both"/>
      </w:pPr>
      <w:r>
        <w:rPr>
          <w:sz w:val="20"/>
        </w:rPr>
        <w:t xml:space="preserve">и) строительство помещений для животных, птиц, растениеводства (при виде экономической деятельности "сельское хозяйство");</w:t>
      </w:r>
    </w:p>
    <w:p>
      <w:pPr>
        <w:pStyle w:val="0"/>
        <w:spacing w:before="200" w:line-rule="auto"/>
        <w:ind w:firstLine="540"/>
        <w:jc w:val="both"/>
      </w:pPr>
      <w:r>
        <w:rPr>
          <w:sz w:val="20"/>
        </w:rPr>
        <w:t xml:space="preserve">к) приобретение программного обеспечения;</w:t>
      </w:r>
    </w:p>
    <w:p>
      <w:pPr>
        <w:pStyle w:val="0"/>
        <w:spacing w:before="200" w:line-rule="auto"/>
        <w:ind w:firstLine="540"/>
        <w:jc w:val="both"/>
      </w:pPr>
      <w:r>
        <w:rPr>
          <w:sz w:val="20"/>
        </w:rPr>
        <w:t xml:space="preserve">л) транспортные расходы, связанные с доставкой приобретенных основных средств, сырья, материалов, топлива, запасных частей, товаров, животных и продукции растениеводства, продуктов для приготовления пищи, изделий (при виде экономической деятельности "деятельность гостиниц и предприятий общественного питания");</w:t>
      </w:r>
    </w:p>
    <w:p>
      <w:pPr>
        <w:pStyle w:val="0"/>
        <w:spacing w:before="200" w:line-rule="auto"/>
        <w:ind w:firstLine="540"/>
        <w:jc w:val="both"/>
      </w:pPr>
      <w:r>
        <w:rPr>
          <w:sz w:val="20"/>
        </w:rPr>
        <w:t xml:space="preserve">м) приобретение справочной и методической литературы;</w:t>
      </w:r>
    </w:p>
    <w:p>
      <w:pPr>
        <w:pStyle w:val="0"/>
        <w:spacing w:before="200" w:line-rule="auto"/>
        <w:ind w:firstLine="540"/>
        <w:jc w:val="both"/>
      </w:pPr>
      <w:r>
        <w:rPr>
          <w:sz w:val="20"/>
        </w:rPr>
        <w:t xml:space="preserve">н) изготовление и размещение рекламных материалов;</w:t>
      </w:r>
    </w:p>
    <w:p>
      <w:pPr>
        <w:pStyle w:val="0"/>
        <w:spacing w:before="200" w:line-rule="auto"/>
        <w:ind w:firstLine="540"/>
        <w:jc w:val="both"/>
      </w:pPr>
      <w:r>
        <w:rPr>
          <w:sz w:val="20"/>
        </w:rPr>
        <w:t xml:space="preserve">о) лицензирование отдельных видов деятельности и сертификация продукции и услуг;</w:t>
      </w:r>
    </w:p>
    <w:p>
      <w:pPr>
        <w:pStyle w:val="0"/>
        <w:spacing w:before="200" w:line-rule="auto"/>
        <w:ind w:firstLine="540"/>
        <w:jc w:val="both"/>
      </w:pPr>
      <w:r>
        <w:rPr>
          <w:sz w:val="20"/>
        </w:rPr>
        <w:t xml:space="preserve">п) организация доступа к сети местной телефонной и мобильной связи, информационно-телекоммуникационной сети Интернет;</w:t>
      </w:r>
    </w:p>
    <w:p>
      <w:pPr>
        <w:pStyle w:val="0"/>
        <w:spacing w:before="200" w:line-rule="auto"/>
        <w:ind w:firstLine="540"/>
        <w:jc w:val="both"/>
      </w:pPr>
      <w:r>
        <w:rPr>
          <w:sz w:val="20"/>
        </w:rPr>
        <w:t xml:space="preserve">р) подключение к инженерным сетям, включая электро-, водо- и теплоснабжение, водоотведение, установка вентиляционных систем, систем кондиционирования;</w:t>
      </w:r>
    </w:p>
    <w:p>
      <w:pPr>
        <w:pStyle w:val="0"/>
        <w:spacing w:before="200" w:line-rule="auto"/>
        <w:ind w:firstLine="540"/>
        <w:jc w:val="both"/>
      </w:pPr>
      <w:r>
        <w:rPr>
          <w:sz w:val="20"/>
        </w:rPr>
        <w:t xml:space="preserve">с) оплата услуг (страховые услуги, оплата электроэнергии, оплата связи, коммунальные услуги);</w:t>
      </w:r>
    </w:p>
    <w:p>
      <w:pPr>
        <w:pStyle w:val="0"/>
        <w:spacing w:before="200" w:line-rule="auto"/>
        <w:ind w:firstLine="540"/>
        <w:jc w:val="both"/>
      </w:pPr>
      <w:r>
        <w:rPr>
          <w:sz w:val="20"/>
        </w:rPr>
        <w:t xml:space="preserve">т) оплата услуг по созданию интернет-сайта для продвижения товаров/работ/услуг;</w:t>
      </w:r>
    </w:p>
    <w:p>
      <w:pPr>
        <w:pStyle w:val="0"/>
        <w:spacing w:before="200" w:line-rule="auto"/>
        <w:ind w:firstLine="540"/>
        <w:jc w:val="both"/>
      </w:pPr>
      <w:r>
        <w:rPr>
          <w:sz w:val="20"/>
        </w:rPr>
        <w:t xml:space="preserve">у) приобретение франшизы;</w:t>
      </w:r>
    </w:p>
    <w:p>
      <w:pPr>
        <w:pStyle w:val="0"/>
        <w:spacing w:before="200" w:line-rule="auto"/>
        <w:ind w:firstLine="540"/>
        <w:jc w:val="both"/>
      </w:pPr>
      <w:r>
        <w:rPr>
          <w:sz w:val="20"/>
        </w:rPr>
        <w:t xml:space="preserve">ф) приобретение транспортного средства для осуществления предпринимательской деятельности:</w:t>
      </w:r>
    </w:p>
    <w:p>
      <w:pPr>
        <w:pStyle w:val="0"/>
        <w:spacing w:before="200" w:line-rule="auto"/>
        <w:ind w:firstLine="540"/>
        <w:jc w:val="both"/>
      </w:pPr>
      <w:r>
        <w:rPr>
          <w:sz w:val="20"/>
        </w:rPr>
        <w:t xml:space="preserve">автомобильного транспорта (за исключением легковых автомобилей, кроме пикапов), включая грузовых (бортовых) автомобилей, микроавтобусов с количеством сидячих мест более 8, специальных, специализированных, санитарных автотранспортных средств;</w:t>
      </w:r>
    </w:p>
    <w:p>
      <w:pPr>
        <w:pStyle w:val="0"/>
        <w:spacing w:before="200" w:line-rule="auto"/>
        <w:ind w:firstLine="540"/>
        <w:jc w:val="both"/>
      </w:pPr>
      <w:r>
        <w:rPr>
          <w:sz w:val="20"/>
        </w:rPr>
        <w:t xml:space="preserve">производственных маломерных судов, предназначенных для выполнения хозяйственных задач и функций: перевозка грузов и людей, промысел биоресурсов, водолазные работы.</w:t>
      </w:r>
    </w:p>
    <w:p>
      <w:pPr>
        <w:pStyle w:val="0"/>
        <w:spacing w:before="200" w:line-rule="auto"/>
        <w:ind w:firstLine="540"/>
        <w:jc w:val="both"/>
      </w:pPr>
      <w:r>
        <w:rPr>
          <w:sz w:val="20"/>
        </w:rPr>
        <w:t xml:space="preserve">3.2. Размер единовременной финансовой помощи не может превышать 220 000 рублей.</w:t>
      </w:r>
    </w:p>
    <w:p>
      <w:pPr>
        <w:pStyle w:val="0"/>
        <w:spacing w:before="200" w:line-rule="auto"/>
        <w:ind w:firstLine="540"/>
        <w:jc w:val="both"/>
      </w:pPr>
      <w:r>
        <w:rPr>
          <w:sz w:val="20"/>
        </w:rPr>
        <w:t xml:space="preserve">3.3. Повторное предоставление гражданину единовременной финансовой помощи в период действия государственной программы не допускается.</w:t>
      </w:r>
    </w:p>
    <w:bookmarkStart w:id="2112" w:name="P2112"/>
    <w:bookmarkEnd w:id="2112"/>
    <w:p>
      <w:pPr>
        <w:pStyle w:val="0"/>
        <w:spacing w:before="200" w:line-rule="auto"/>
        <w:ind w:firstLine="540"/>
        <w:jc w:val="both"/>
      </w:pPr>
      <w:r>
        <w:rPr>
          <w:sz w:val="20"/>
        </w:rPr>
        <w:t xml:space="preserve">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юридических лиц, постановки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Центр занятости населения совместно со специалистами Фонда поддержки предпринимательства Югры "Мой бизнес" осуществляет сопровождение гражданина по вопросам осуществления индивидуальной предпринимательской деятельности, мерам поддержки субъектов малого и среднего предпринимательства, предоставляемых указанным фондом, в течение срока, установленного </w:t>
      </w:r>
      <w:hyperlink w:history="0" w:anchor="P211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197"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13.10.2023 N 507-п)</w:t>
      </w:r>
    </w:p>
    <w:p>
      <w:pPr>
        <w:pStyle w:val="0"/>
        <w:spacing w:before="200" w:line-rule="auto"/>
        <w:ind w:firstLine="540"/>
        <w:jc w:val="both"/>
      </w:pPr>
      <w:r>
        <w:rPr>
          <w:sz w:val="20"/>
        </w:rPr>
        <w:t xml:space="preserve">3.5. В течение установленного </w:t>
      </w:r>
      <w:hyperlink w:history="0" w:anchor="P211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
        <w:r>
          <w:rPr>
            <w:sz w:val="20"/>
            <w:color w:val="0000ff"/>
          </w:rPr>
          <w:t xml:space="preserve">пунктом 3.4</w:t>
        </w:r>
      </w:hyperlink>
      <w:r>
        <w:rPr>
          <w:sz w:val="20"/>
        </w:rPr>
        <w:t xml:space="preserve"> Порядка срока центр занятости населения осуществляет контроль исполнения гражданином указанного в </w:t>
      </w:r>
      <w:hyperlink w:history="0" w:anchor="P211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
        <w:r>
          <w:rPr>
            <w:sz w:val="20"/>
            <w:color w:val="0000ff"/>
          </w:rPr>
          <w:t xml:space="preserve">пункте 3.4</w:t>
        </w:r>
      </w:hyperlink>
      <w:r>
        <w:rPr>
          <w:sz w:val="20"/>
        </w:rPr>
        <w:t xml:space="preserve"> Порядка обязательства путем проведения выездных проверок с составлением соответствующего акта.</w:t>
      </w:r>
    </w:p>
    <w:p>
      <w:pPr>
        <w:pStyle w:val="0"/>
        <w:spacing w:before="200" w:line-rule="auto"/>
        <w:ind w:firstLine="540"/>
        <w:jc w:val="both"/>
      </w:pPr>
      <w:r>
        <w:rPr>
          <w:sz w:val="20"/>
        </w:rPr>
        <w:t xml:space="preserve">Порядок проведения выездных проверок, их периодичность и порядок уведомления граждан об их проведении определяет центр занятости населения.</w:t>
      </w:r>
    </w:p>
    <w:p>
      <w:pPr>
        <w:pStyle w:val="0"/>
        <w:spacing w:before="200" w:line-rule="auto"/>
        <w:ind w:firstLine="540"/>
        <w:jc w:val="both"/>
      </w:pPr>
      <w:r>
        <w:rPr>
          <w:sz w:val="20"/>
        </w:rPr>
        <w:t xml:space="preserve">3.6. Центр занятости населения не позднее следующего дня по истечении каждого трехмесячного периода в течение срока, предусмотренного </w:t>
      </w:r>
      <w:hyperlink w:history="0" w:anchor="P211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
        <w:r>
          <w:rPr>
            <w:sz w:val="20"/>
            <w:color w:val="0000ff"/>
          </w:rPr>
          <w:t xml:space="preserve">пунктом 3.4</w:t>
        </w:r>
      </w:hyperlink>
      <w:r>
        <w:rPr>
          <w:sz w:val="20"/>
        </w:rPr>
        <w:t xml:space="preserve"> Порядка, самостоятельно:</w:t>
      </w:r>
    </w:p>
    <w:p>
      <w:pPr>
        <w:pStyle w:val="0"/>
        <w:jc w:val="both"/>
      </w:pPr>
      <w:r>
        <w:rPr>
          <w:sz w:val="20"/>
        </w:rPr>
        <w:t xml:space="preserve">(в ред. </w:t>
      </w:r>
      <w:hyperlink w:history="0" r:id="rId198"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технико-экономическом обосновании (бизнес-плане));</w:t>
      </w:r>
    </w:p>
    <w:p>
      <w:pPr>
        <w:pStyle w:val="0"/>
        <w:spacing w:before="200" w:line-rule="auto"/>
        <w:ind w:firstLine="540"/>
        <w:jc w:val="both"/>
      </w:pPr>
      <w:r>
        <w:rPr>
          <w:sz w:val="20"/>
        </w:rPr>
        <w:t xml:space="preserve">осуществляет проверку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 постановку на учет в качестве налогоплательщика налога на профессиональный доход;</w:t>
      </w:r>
    </w:p>
    <w:p>
      <w:pPr>
        <w:pStyle w:val="0"/>
        <w:spacing w:before="200" w:line-rule="auto"/>
        <w:ind w:firstLine="540"/>
        <w:jc w:val="both"/>
      </w:pPr>
      <w:r>
        <w:rPr>
          <w:sz w:val="20"/>
        </w:rPr>
        <w:t xml:space="preserve">уведомляет гражданина, вставшего на учет физического лица в качестве налогоплательщика налога на профессиональный доход, о представлении в течение трех рабочих дней справки о постановке на учет (снятии с учета) физического лица в качестве налогоплательщика налога на профессиональный доход, которую гражданин самостоятельно формирует в мобильном приложении или в веб-кабинете "Мой налог" или на сайте Федеральной налоговой службы, подтверждающей осуществление деятельности.</w:t>
      </w:r>
    </w:p>
    <w:p>
      <w:pPr>
        <w:pStyle w:val="0"/>
        <w:jc w:val="both"/>
      </w:pPr>
      <w:r>
        <w:rPr>
          <w:sz w:val="20"/>
        </w:rPr>
        <w:t xml:space="preserve">(в ред. </w:t>
      </w:r>
      <w:hyperlink w:history="0" r:id="rId199"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Гражданин может самостоятельно представить выписку из Единого государственного реестра индивидуальных предпринимателей или из Единого государственного реестра юридических лиц либо справку о постановке на учет (снятии с учета) физического лица в качестве налогоплательщика налога на профессиональный доход, которую он формирует в мобильном приложении либо в веб-кабинете "Мой налог", либо на сайте Федеральной налоговой службы Российской Федерации.</w:t>
      </w:r>
    </w:p>
    <w:p>
      <w:pPr>
        <w:pStyle w:val="0"/>
        <w:jc w:val="both"/>
      </w:pPr>
      <w:r>
        <w:rPr>
          <w:sz w:val="20"/>
        </w:rPr>
        <w:t xml:space="preserve">(абзац введен </w:t>
      </w:r>
      <w:hyperlink w:history="0" r:id="rId200"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14.07.2023 N 331-п)</w:t>
      </w:r>
    </w:p>
    <w:bookmarkStart w:id="2125" w:name="P2125"/>
    <w:bookmarkEnd w:id="2125"/>
    <w:p>
      <w:pPr>
        <w:pStyle w:val="0"/>
        <w:spacing w:before="200" w:line-rule="auto"/>
        <w:ind w:firstLine="540"/>
        <w:jc w:val="both"/>
      </w:pPr>
      <w:r>
        <w:rPr>
          <w:sz w:val="20"/>
        </w:rPr>
        <w:t xml:space="preserve">3.7. Единовременная финансовая помощь должна быть использована в течение девяти месяцев со дня ее перечисления.</w:t>
      </w:r>
    </w:p>
    <w:p>
      <w:pPr>
        <w:pStyle w:val="0"/>
        <w:jc w:val="both"/>
      </w:pPr>
      <w:r>
        <w:rPr>
          <w:sz w:val="20"/>
        </w:rPr>
        <w:t xml:space="preserve">(в ред. </w:t>
      </w:r>
      <w:hyperlink w:history="0" r:id="rId201"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01.04.2022 N 118-п)</w:t>
      </w:r>
    </w:p>
    <w:p>
      <w:pPr>
        <w:pStyle w:val="0"/>
        <w:jc w:val="both"/>
      </w:pPr>
      <w:r>
        <w:rPr>
          <w:sz w:val="20"/>
        </w:rPr>
      </w:r>
    </w:p>
    <w:p>
      <w:pPr>
        <w:pStyle w:val="2"/>
        <w:outlineLvl w:val="1"/>
        <w:jc w:val="center"/>
      </w:pPr>
      <w:r>
        <w:rPr>
          <w:sz w:val="20"/>
        </w:rPr>
        <w:t xml:space="preserve">IV. УСЛОВИЯ ПРЕДОСТАВЛЕНИЯ ЕДИНОВРЕМЕННОЙ ФИНАНСОВОЙ ПОМОЩИ</w:t>
      </w:r>
    </w:p>
    <w:p>
      <w:pPr>
        <w:pStyle w:val="0"/>
        <w:jc w:val="both"/>
      </w:pPr>
      <w:r>
        <w:rPr>
          <w:sz w:val="20"/>
        </w:rPr>
      </w:r>
    </w:p>
    <w:bookmarkStart w:id="2130" w:name="P2130"/>
    <w:bookmarkEnd w:id="2130"/>
    <w:p>
      <w:pPr>
        <w:pStyle w:val="0"/>
        <w:ind w:firstLine="540"/>
        <w:jc w:val="both"/>
      </w:pPr>
      <w:r>
        <w:rPr>
          <w:sz w:val="20"/>
        </w:rPr>
        <w:t xml:space="preserve">4.1. После получения заключения центра занятости населения по результатам предоставления государственной услуги по содействию самозанятости безработных граждан и организации собственного дела гражданин для получения единовременной финансовой помощи представляет в центр занятости населения:</w:t>
      </w:r>
    </w:p>
    <w:p>
      <w:pPr>
        <w:pStyle w:val="0"/>
        <w:jc w:val="both"/>
      </w:pPr>
      <w:r>
        <w:rPr>
          <w:sz w:val="20"/>
        </w:rPr>
        <w:t xml:space="preserve">(в ред. </w:t>
      </w:r>
      <w:hyperlink w:history="0" r:id="rId20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4.1.1. Заявление о предоставлении единовременной финансовой помощи (далее - заявление) по установленной Департаментом форме.</w:t>
      </w:r>
    </w:p>
    <w:p>
      <w:pPr>
        <w:pStyle w:val="0"/>
        <w:jc w:val="both"/>
      </w:pPr>
      <w:r>
        <w:rPr>
          <w:sz w:val="20"/>
        </w:rPr>
        <w:t xml:space="preserve">(пп. 4.1.1 в ред. </w:t>
      </w:r>
      <w:hyperlink w:history="0" r:id="rId203"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4.1.2. Технико-экономическое обоснование избранного вида экономической деятельности (бизнес-план), разработанное гражданином на этапе получения им государственной услуги по содействию самозанятости безработных граждан в соответствии с требованиями, утвержденными Департаментом, и согласованное уполномоченными специалистами Фонда поддержки предпринимательства Югры "Мой бизнес".</w:t>
      </w:r>
    </w:p>
    <w:p>
      <w:pPr>
        <w:pStyle w:val="0"/>
        <w:jc w:val="both"/>
      </w:pPr>
      <w:r>
        <w:rPr>
          <w:sz w:val="20"/>
        </w:rPr>
        <w:t xml:space="preserve">(в ред. </w:t>
      </w:r>
      <w:hyperlink w:history="0" r:id="rId204"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Граждане, планирующие постановку на учет в качестве налогоплательщика налога на профессиональный доход, вид экономической деятельности в технико-экономическом обосновании (бизнес-плане) не указывают.</w:t>
      </w:r>
    </w:p>
    <w:p>
      <w:pPr>
        <w:pStyle w:val="0"/>
        <w:spacing w:before="200" w:line-rule="auto"/>
        <w:ind w:firstLine="540"/>
        <w:jc w:val="both"/>
      </w:pPr>
      <w:r>
        <w:rPr>
          <w:sz w:val="20"/>
        </w:rPr>
        <w:t xml:space="preserve">В технико-экономическое обоснование избранного вида экономической деятельности (бизнес-план) гражданин вправе вносить изменения до истечения срока, установленного </w:t>
      </w:r>
      <w:hyperlink w:history="0" w:anchor="P2125" w:tooltip="3.7. Единовременная финансовая помощь должна быть использована в течение девяти месяцев со дня ее перечисления.">
        <w:r>
          <w:rPr>
            <w:sz w:val="20"/>
            <w:color w:val="0000ff"/>
          </w:rPr>
          <w:t xml:space="preserve">пунктом 3.7</w:t>
        </w:r>
      </w:hyperlink>
      <w:r>
        <w:rPr>
          <w:sz w:val="20"/>
        </w:rPr>
        <w:t xml:space="preserve"> Порядка, каждое из которых он самостоятельно направляет для одобрения в Фонд поддержки предпринимательства Югры "Мой бизнес", после чего представляет в центр занятости населения.</w:t>
      </w:r>
    </w:p>
    <w:p>
      <w:pPr>
        <w:pStyle w:val="0"/>
        <w:jc w:val="both"/>
      </w:pPr>
      <w:r>
        <w:rPr>
          <w:sz w:val="20"/>
        </w:rPr>
        <w:t xml:space="preserve">(в ред. </w:t>
      </w:r>
      <w:hyperlink w:history="0" r:id="rId205"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01.04.2022 N 118-п)</w:t>
      </w:r>
    </w:p>
    <w:p>
      <w:pPr>
        <w:pStyle w:val="0"/>
        <w:spacing w:before="200" w:line-rule="auto"/>
        <w:ind w:firstLine="540"/>
        <w:jc w:val="both"/>
      </w:pPr>
      <w:r>
        <w:rPr>
          <w:sz w:val="20"/>
        </w:rPr>
        <w:t xml:space="preserve">4.1.3. Документ об образовании и (или) о квалификации либо документ об обучении (для граждан,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 населения).</w:t>
      </w:r>
    </w:p>
    <w:p>
      <w:pPr>
        <w:pStyle w:val="0"/>
        <w:spacing w:before="200" w:line-rule="auto"/>
        <w:ind w:firstLine="540"/>
        <w:jc w:val="both"/>
      </w:pPr>
      <w:r>
        <w:rPr>
          <w:sz w:val="20"/>
        </w:rPr>
        <w:t xml:space="preserve">4.2. Утратил силу с 14 июля 2023 года. - </w:t>
      </w:r>
      <w:hyperlink w:history="0" r:id="rId206"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14.07.2023 N 331-п.</w:t>
      </w:r>
    </w:p>
    <w:p>
      <w:pPr>
        <w:pStyle w:val="0"/>
        <w:spacing w:before="200" w:line-rule="auto"/>
        <w:ind w:firstLine="540"/>
        <w:jc w:val="both"/>
      </w:pPr>
      <w:r>
        <w:rPr>
          <w:sz w:val="20"/>
        </w:rPr>
        <w:t xml:space="preserve">4.3. Центр занятости населения в день подачи гражданином заявления вносит соответствующую информацию в единую цифровую платформу в сфере занятости и трудовых отношений "Работа в России" (</w:t>
      </w:r>
      <w:r>
        <w:rPr>
          <w:sz w:val="20"/>
        </w:rPr>
        <w:t xml:space="preserve">https://trudvsem.ru</w:t>
      </w:r>
      <w:r>
        <w:rPr>
          <w:sz w:val="20"/>
        </w:rPr>
        <w:t xml:space="preserve">) (далее - единая цифровая платформа) и подтверждает подачу гражданином заявления путем направления ему соответствующего уведомления в день подачи им заявления.</w:t>
      </w:r>
    </w:p>
    <w:p>
      <w:pPr>
        <w:pStyle w:val="0"/>
        <w:jc w:val="both"/>
      </w:pPr>
      <w:r>
        <w:rPr>
          <w:sz w:val="20"/>
        </w:rPr>
        <w:t xml:space="preserve">(п. 4.3 в ред. </w:t>
      </w:r>
      <w:hyperlink w:history="0" r:id="rId207"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4.4. Центр занятости населения не позднее 5 рабочих дней после подачи гражданином заявления проверяет сведения об организации собственного дела с использованием единой системы межведомственного электронного взаимодействия.</w:t>
      </w:r>
    </w:p>
    <w:p>
      <w:pPr>
        <w:pStyle w:val="0"/>
        <w:jc w:val="both"/>
      </w:pPr>
      <w:r>
        <w:rPr>
          <w:sz w:val="20"/>
        </w:rPr>
        <w:t xml:space="preserve">(п. 4.4 в ред. </w:t>
      </w:r>
      <w:hyperlink w:history="0" r:id="rId208"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bookmarkStart w:id="2145" w:name="P2145"/>
    <w:bookmarkEnd w:id="2145"/>
    <w:p>
      <w:pPr>
        <w:pStyle w:val="0"/>
        <w:spacing w:before="200" w:line-rule="auto"/>
        <w:ind w:firstLine="540"/>
        <w:jc w:val="both"/>
      </w:pPr>
      <w:r>
        <w:rPr>
          <w:sz w:val="20"/>
        </w:rPr>
        <w:t xml:space="preserve">4.5. На дату представления в центр занятости населения заявления и документов, предусмотренных </w:t>
      </w:r>
      <w:hyperlink w:history="0" w:anchor="P2130" w:tooltip="4.1. После получения заключения центра занятости населения по результатам предоставления государственной услуги по содействию самозанятости безработных граждан и организации собственного дела гражданин для получения единовременной финансовой помощи представляет в центр занятости населения:">
        <w:r>
          <w:rPr>
            <w:sz w:val="20"/>
            <w:color w:val="0000ff"/>
          </w:rPr>
          <w:t xml:space="preserve">пунктом 4.1</w:t>
        </w:r>
      </w:hyperlink>
      <w:r>
        <w:rPr>
          <w:sz w:val="20"/>
        </w:rPr>
        <w:t xml:space="preserve"> Порядка, гражданин должен соответствовать требованиям:</w:t>
      </w:r>
    </w:p>
    <w:p>
      <w:pPr>
        <w:pStyle w:val="0"/>
        <w:spacing w:before="200" w:line-rule="auto"/>
        <w:ind w:firstLine="540"/>
        <w:jc w:val="both"/>
      </w:pPr>
      <w:r>
        <w:rPr>
          <w:sz w:val="20"/>
        </w:rPr>
        <w:t xml:space="preserve">Абзац утратил силу с 14 июля 2023 года. - </w:t>
      </w:r>
      <w:hyperlink w:history="0" r:id="rId209"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14.07.2023 N 331-п;</w:t>
      </w:r>
    </w:p>
    <w:bookmarkStart w:id="2147" w:name="P2147"/>
    <w:bookmarkEnd w:id="2147"/>
    <w:p>
      <w:pPr>
        <w:pStyle w:val="0"/>
        <w:spacing w:before="200" w:line-rule="auto"/>
        <w:ind w:firstLine="540"/>
        <w:jc w:val="both"/>
      </w:pPr>
      <w:r>
        <w:rPr>
          <w:sz w:val="20"/>
        </w:rPr>
        <w:t xml:space="preserve">не получать единовременную финансовую помощь за счет средств бюджета автономного округа, федерального бюджета в 2009 - 2021 годах и в период реализации государственной программы;</w:t>
      </w:r>
    </w:p>
    <w:bookmarkStart w:id="2148" w:name="P2148"/>
    <w:bookmarkEnd w:id="2148"/>
    <w:p>
      <w:pPr>
        <w:pStyle w:val="0"/>
        <w:spacing w:before="200" w:line-rule="auto"/>
        <w:ind w:firstLine="540"/>
        <w:jc w:val="both"/>
      </w:pPr>
      <w:r>
        <w:rPr>
          <w:sz w:val="20"/>
        </w:rPr>
        <w:t xml:space="preserve">не являться индивидуальным предпринимателем, главой крестьянского (фермерского) хозяйства в течение шести календарных месяцев до дня представления в центр занятости населения заявления о предоставлении государственной услуги по содействию самозанятости безработных граждан;</w:t>
      </w:r>
    </w:p>
    <w:p>
      <w:pPr>
        <w:pStyle w:val="0"/>
        <w:jc w:val="both"/>
      </w:pPr>
      <w:r>
        <w:rPr>
          <w:sz w:val="20"/>
        </w:rPr>
        <w:t xml:space="preserve">(в ред. </w:t>
      </w:r>
      <w:hyperlink w:history="0" r:id="rId210"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bookmarkStart w:id="2150" w:name="P2150"/>
    <w:bookmarkEnd w:id="2150"/>
    <w:p>
      <w:pPr>
        <w:pStyle w:val="0"/>
        <w:spacing w:before="200" w:line-rule="auto"/>
        <w:ind w:firstLine="540"/>
        <w:jc w:val="both"/>
      </w:pPr>
      <w:r>
        <w:rPr>
          <w:sz w:val="20"/>
        </w:rPr>
        <w:t xml:space="preserve">не являться учредителем юридического лица в течение шести календарных месяцев до дня представления в центр занятости населения заявления о предоставлении государственной услуги по содействию самозанятости безработных граждан,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pPr>
        <w:pStyle w:val="0"/>
        <w:jc w:val="both"/>
      </w:pPr>
      <w:r>
        <w:rPr>
          <w:sz w:val="20"/>
        </w:rPr>
        <w:t xml:space="preserve">(в ред. </w:t>
      </w:r>
      <w:hyperlink w:history="0" r:id="rId211"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bookmarkStart w:id="2152" w:name="P2152"/>
    <w:bookmarkEnd w:id="2152"/>
    <w:p>
      <w:pPr>
        <w:pStyle w:val="0"/>
        <w:spacing w:before="200" w:line-rule="auto"/>
        <w:ind w:firstLine="540"/>
        <w:jc w:val="both"/>
      </w:pPr>
      <w:r>
        <w:rPr>
          <w:sz w:val="20"/>
        </w:rPr>
        <w:t xml:space="preserve">не являться налогоплательщиком налога на профессиональный доход до дня представления в центр занятости населения заявления о предоставлении государственной услуги по содействию самозанятости безработных граждан;</w:t>
      </w:r>
    </w:p>
    <w:p>
      <w:pPr>
        <w:pStyle w:val="0"/>
        <w:jc w:val="both"/>
      </w:pPr>
      <w:r>
        <w:rPr>
          <w:sz w:val="20"/>
        </w:rPr>
        <w:t xml:space="preserve">(в ред. </w:t>
      </w:r>
      <w:hyperlink w:history="0" r:id="rId21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bookmarkStart w:id="2154" w:name="P2154"/>
    <w:bookmarkEnd w:id="2154"/>
    <w:p>
      <w:pPr>
        <w:pStyle w:val="0"/>
        <w:spacing w:before="200" w:line-rule="auto"/>
        <w:ind w:firstLine="540"/>
        <w:jc w:val="both"/>
      </w:pPr>
      <w:r>
        <w:rPr>
          <w:sz w:val="20"/>
        </w:rPr>
        <w:t xml:space="preserve">не иметь обязательств перед третьими лицами по вступившим в законную силу решениям судов;</w:t>
      </w:r>
    </w:p>
    <w:bookmarkStart w:id="2155" w:name="P2155"/>
    <w:bookmarkEnd w:id="2155"/>
    <w:p>
      <w:pPr>
        <w:pStyle w:val="0"/>
        <w:spacing w:before="200" w:line-rule="auto"/>
        <w:ind w:firstLine="540"/>
        <w:jc w:val="both"/>
      </w:pPr>
      <w:r>
        <w:rPr>
          <w:sz w:val="20"/>
        </w:rPr>
        <w:t xml:space="preserve">осуществлять деятельность, указанную в бизнес-плане (в том числе установление оборудования), на территории автономного округа;</w:t>
      </w:r>
    </w:p>
    <w:bookmarkStart w:id="2156" w:name="P2156"/>
    <w:bookmarkEnd w:id="2156"/>
    <w:p>
      <w:pPr>
        <w:pStyle w:val="0"/>
        <w:spacing w:before="200" w:line-rule="auto"/>
        <w:ind w:firstLine="540"/>
        <w:jc w:val="both"/>
      </w:pPr>
      <w:r>
        <w:rPr>
          <w:sz w:val="20"/>
        </w:rPr>
        <w:t xml:space="preserve">не являться в течение 3 лет (включая год обращения за единовременной финансовой помощью) получателем государственной социальной помощи на основании социального контракта для реализации мероприятия программы социальной адаптации по осуществлению индивидуальной предпринимательской деятельности;</w:t>
      </w:r>
    </w:p>
    <w:p>
      <w:pPr>
        <w:pStyle w:val="0"/>
        <w:jc w:val="both"/>
      </w:pPr>
      <w:r>
        <w:rPr>
          <w:sz w:val="20"/>
        </w:rPr>
        <w:t xml:space="preserve">(в ред. </w:t>
      </w:r>
      <w:hyperlink w:history="0" r:id="rId213"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bookmarkStart w:id="2158" w:name="P2158"/>
    <w:bookmarkEnd w:id="2158"/>
    <w:p>
      <w:pPr>
        <w:pStyle w:val="0"/>
        <w:spacing w:before="200" w:line-rule="auto"/>
        <w:ind w:firstLine="540"/>
        <w:jc w:val="both"/>
      </w:pPr>
      <w:r>
        <w:rPr>
          <w:sz w:val="20"/>
        </w:rPr>
        <w:t xml:space="preserve">организовать собственное дело;</w:t>
      </w:r>
    </w:p>
    <w:p>
      <w:pPr>
        <w:pStyle w:val="0"/>
        <w:jc w:val="both"/>
      </w:pPr>
      <w:r>
        <w:rPr>
          <w:sz w:val="20"/>
        </w:rPr>
        <w:t xml:space="preserve">(абзац введен </w:t>
      </w:r>
      <w:hyperlink w:history="0" r:id="rId214"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14.07.2023 N 331-п)</w:t>
      </w:r>
    </w:p>
    <w:bookmarkStart w:id="2160" w:name="P2160"/>
    <w:bookmarkEnd w:id="2160"/>
    <w:p>
      <w:pPr>
        <w:pStyle w:val="0"/>
        <w:spacing w:before="200" w:line-rule="auto"/>
        <w:ind w:firstLine="540"/>
        <w:jc w:val="both"/>
      </w:pPr>
      <w:r>
        <w:rPr>
          <w:sz w:val="20"/>
        </w:rPr>
        <w:t xml:space="preserve">относиться к одной из категорий граждан, предусмотренных </w:t>
      </w:r>
      <w:hyperlink w:history="0" w:anchor="P2067" w:tooltip="граждане, находящиеся под риском увольнения (планируемые к увольнению в связи с ликвидацией организации либо с прекращением деятельности индивидуального предпринимателя, сокращением численности или штата работников организации, индивидуального предпринимателя и возможным расторжением с ними трудовых договоров);">
        <w:r>
          <w:rPr>
            <w:sz w:val="20"/>
            <w:color w:val="0000ff"/>
          </w:rPr>
          <w:t xml:space="preserve">абзацами с четвертого</w:t>
        </w:r>
      </w:hyperlink>
      <w:r>
        <w:rPr>
          <w:sz w:val="20"/>
        </w:rPr>
        <w:t xml:space="preserve"> по </w:t>
      </w:r>
      <w:hyperlink w:history="0" w:anchor="P2077" w:tooltip="граждане, испытывающие трудности в поиске работы;">
        <w:r>
          <w:rPr>
            <w:sz w:val="20"/>
            <w:color w:val="0000ff"/>
          </w:rPr>
          <w:t xml:space="preserve">девятый пункта 2.1</w:t>
        </w:r>
      </w:hyperlink>
      <w:r>
        <w:rPr>
          <w:sz w:val="20"/>
        </w:rPr>
        <w:t xml:space="preserve"> Порядка (за исключением граждан, предусмотренных </w:t>
      </w:r>
      <w:hyperlink w:history="0" w:anchor="P2063" w:tooltip="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w:r>
          <w:rPr>
            <w:sz w:val="20"/>
            <w:color w:val="0000ff"/>
          </w:rPr>
          <w:t xml:space="preserve">абзацами вторым</w:t>
        </w:r>
      </w:hyperlink>
      <w:r>
        <w:rPr>
          <w:sz w:val="20"/>
        </w:rPr>
        <w:t xml:space="preserve">, </w:t>
      </w:r>
      <w:hyperlink w:history="0" w:anchor="P2064" w:tooltip="граждане Российской Федерации, достигшие возраста восемнадцати лет,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центра занятости населения;">
        <w:r>
          <w:rPr>
            <w:sz w:val="20"/>
            <w:color w:val="0000ff"/>
          </w:rPr>
          <w:t xml:space="preserve">третьим пункта 2.1</w:t>
        </w:r>
      </w:hyperlink>
      <w:r>
        <w:rPr>
          <w:sz w:val="20"/>
        </w:rPr>
        <w:t xml:space="preserve"> Порядка).</w:t>
      </w:r>
    </w:p>
    <w:p>
      <w:pPr>
        <w:pStyle w:val="0"/>
        <w:jc w:val="both"/>
      </w:pPr>
      <w:r>
        <w:rPr>
          <w:sz w:val="20"/>
        </w:rPr>
        <w:t xml:space="preserve">(абзац введен </w:t>
      </w:r>
      <w:hyperlink w:history="0" r:id="rId215"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w:t>
      </w:r>
    </w:p>
    <w:p>
      <w:pPr>
        <w:pStyle w:val="0"/>
        <w:spacing w:before="200" w:line-rule="auto"/>
        <w:ind w:firstLine="540"/>
        <w:jc w:val="both"/>
      </w:pPr>
      <w:r>
        <w:rPr>
          <w:sz w:val="20"/>
        </w:rPr>
        <w:t xml:space="preserve">4.6. Центр занятости населения в течение 5 рабочих дней со дня регистрации заявления осуществляет проверку гражданина на соответствие установленным </w:t>
      </w:r>
      <w:hyperlink w:history="0" w:anchor="P2145" w:tooltip="4.5. На дату представления в центр занятости населения заявления и документов, предусмотренных пунктом 4.1 Порядка, гражданин должен соответствовать требованиям:">
        <w:r>
          <w:rPr>
            <w:sz w:val="20"/>
            <w:color w:val="0000ff"/>
          </w:rPr>
          <w:t xml:space="preserve">пунктом 4.5</w:t>
        </w:r>
      </w:hyperlink>
      <w:r>
        <w:rPr>
          <w:sz w:val="20"/>
        </w:rPr>
        <w:t xml:space="preserve"> Порядка требованиям:</w:t>
      </w:r>
    </w:p>
    <w:p>
      <w:pPr>
        <w:pStyle w:val="0"/>
        <w:jc w:val="both"/>
      </w:pPr>
      <w:r>
        <w:rPr>
          <w:sz w:val="20"/>
        </w:rPr>
        <w:t xml:space="preserve">(в ред. </w:t>
      </w:r>
      <w:hyperlink w:history="0" r:id="rId216"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4.6.1. Требованию, установленному </w:t>
      </w:r>
      <w:hyperlink w:history="0" w:anchor="P2147" w:tooltip="не получать единовременную финансовую помощь за счет средств бюджета автономного округа, федерального бюджета в 2009 - 2021 годах и в период реализации государственной программы;">
        <w:r>
          <w:rPr>
            <w:sz w:val="20"/>
            <w:color w:val="0000ff"/>
          </w:rPr>
          <w:t xml:space="preserve">абзацем третьим пункта 4.5</w:t>
        </w:r>
      </w:hyperlink>
      <w:r>
        <w:rPr>
          <w:sz w:val="20"/>
        </w:rPr>
        <w:t xml:space="preserve"> Порядка, - на основании имеющихся в его ведении сведений о регистрационном учете безработных граждан, получателях единовременной финансовой помощи.</w:t>
      </w:r>
    </w:p>
    <w:p>
      <w:pPr>
        <w:pStyle w:val="0"/>
        <w:jc w:val="both"/>
      </w:pPr>
      <w:r>
        <w:rPr>
          <w:sz w:val="20"/>
        </w:rPr>
        <w:t xml:space="preserve">(в ред. </w:t>
      </w:r>
      <w:hyperlink w:history="0" r:id="rId217"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4.6.2. Требованиям, установленным </w:t>
      </w:r>
      <w:hyperlink w:history="0" w:anchor="P2148" w:tooltip="не являться индивидуальным предпринимателем, главой крестьянского (фермерского) хозяйства в течение шести календарных месяцев до дня представления в центр занятости населения заявления о предоставлении государственной услуги по содействию самозанятости безработных граждан;">
        <w:r>
          <w:rPr>
            <w:sz w:val="20"/>
            <w:color w:val="0000ff"/>
          </w:rPr>
          <w:t xml:space="preserve">абзацами четвертым</w:t>
        </w:r>
      </w:hyperlink>
      <w:r>
        <w:rPr>
          <w:sz w:val="20"/>
        </w:rPr>
        <w:t xml:space="preserve">, </w:t>
      </w:r>
      <w:hyperlink w:history="0" w:anchor="P2150" w:tooltip="не являться учредителем юридического лица в течение шести календарных месяцев до дня представления в центр занятости населения заявления о предоставлении государственной услуги по содействию самозанятости безработных граждан,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
        <w:r>
          <w:rPr>
            <w:sz w:val="20"/>
            <w:color w:val="0000ff"/>
          </w:rPr>
          <w:t xml:space="preserve">пятым пункта 4.5</w:t>
        </w:r>
      </w:hyperlink>
      <w:r>
        <w:rPr>
          <w:sz w:val="20"/>
        </w:rPr>
        <w:t xml:space="preserve"> Порядка, - путем запроса в порядке межведомственного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выписки из Единого государственного реестра юридических лиц (в Федеральной налоговой службе);</w:t>
      </w:r>
    </w:p>
    <w:p>
      <w:pPr>
        <w:pStyle w:val="0"/>
        <w:spacing w:before="200" w:line-rule="auto"/>
        <w:ind w:firstLine="540"/>
        <w:jc w:val="both"/>
      </w:pPr>
      <w:r>
        <w:rPr>
          <w:sz w:val="20"/>
        </w:rPr>
        <w:t xml:space="preserve">выписки из Единого государственного реестра индивидуальных предпринимателей (в Федеральной налоговой службе).</w:t>
      </w:r>
    </w:p>
    <w:p>
      <w:pPr>
        <w:pStyle w:val="0"/>
        <w:spacing w:before="200" w:line-rule="auto"/>
        <w:ind w:firstLine="540"/>
        <w:jc w:val="both"/>
      </w:pPr>
      <w:r>
        <w:rPr>
          <w:sz w:val="20"/>
        </w:rPr>
        <w:t xml:space="preserve">4.6.3. Требованию, установленному </w:t>
      </w:r>
      <w:hyperlink w:history="0" w:anchor="P2152" w:tooltip="не являться налогоплательщиком налога на профессиональный доход до дня представления в центр занятости населения заявления о предоставлении государственной услуги по содействию самозанятости безработных граждан;">
        <w:r>
          <w:rPr>
            <w:sz w:val="20"/>
            <w:color w:val="0000ff"/>
          </w:rPr>
          <w:t xml:space="preserve">абзацем шестым пункта 4.5</w:t>
        </w:r>
      </w:hyperlink>
      <w:r>
        <w:rPr>
          <w:sz w:val="20"/>
        </w:rPr>
        <w:t xml:space="preserve"> Порядка, -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w:t>
      </w:r>
    </w:p>
    <w:p>
      <w:pPr>
        <w:pStyle w:val="0"/>
        <w:spacing w:before="200" w:line-rule="auto"/>
        <w:ind w:firstLine="540"/>
        <w:jc w:val="both"/>
      </w:pPr>
      <w:r>
        <w:rPr>
          <w:sz w:val="20"/>
        </w:rPr>
        <w:t xml:space="preserve">4.6.4. Требованию, установленному </w:t>
      </w:r>
      <w:hyperlink w:history="0" w:anchor="P2154" w:tooltip="не иметь обязательств перед третьими лицами по вступившим в законную силу решениям судов;">
        <w:r>
          <w:rPr>
            <w:sz w:val="20"/>
            <w:color w:val="0000ff"/>
          </w:rPr>
          <w:t xml:space="preserve">абзацем седьмым пункта 4.5</w:t>
        </w:r>
      </w:hyperlink>
      <w:r>
        <w:rPr>
          <w:sz w:val="20"/>
        </w:rPr>
        <w:t xml:space="preserve"> Порядка, - через электронный сервис Федеральной службы судебных приставов "Банк данных исполнительных производств".</w:t>
      </w:r>
    </w:p>
    <w:p>
      <w:pPr>
        <w:pStyle w:val="0"/>
        <w:spacing w:before="200" w:line-rule="auto"/>
        <w:ind w:firstLine="540"/>
        <w:jc w:val="both"/>
      </w:pPr>
      <w:r>
        <w:rPr>
          <w:sz w:val="20"/>
        </w:rPr>
        <w:t xml:space="preserve">4.6.5. Требованию, установленному </w:t>
      </w:r>
      <w:hyperlink w:history="0" w:anchor="P2155" w:tooltip="осуществлять деятельность, указанную в бизнес-плане (в том числе установление оборудования), на территории автономного округа;">
        <w:r>
          <w:rPr>
            <w:sz w:val="20"/>
            <w:color w:val="0000ff"/>
          </w:rPr>
          <w:t xml:space="preserve">абзацем восьмым пункта 4.5</w:t>
        </w:r>
      </w:hyperlink>
      <w:r>
        <w:rPr>
          <w:sz w:val="20"/>
        </w:rPr>
        <w:t xml:space="preserve"> Порядка, - на основании представленного гражданином технико-экономического обоснования избранного вида деятельности (бизнес-плана).</w:t>
      </w:r>
    </w:p>
    <w:p>
      <w:pPr>
        <w:pStyle w:val="0"/>
        <w:spacing w:before="200" w:line-rule="auto"/>
        <w:ind w:firstLine="540"/>
        <w:jc w:val="both"/>
      </w:pPr>
      <w:r>
        <w:rPr>
          <w:sz w:val="20"/>
        </w:rPr>
        <w:t xml:space="preserve">4.6.6. Требованию, установленному </w:t>
      </w:r>
      <w:hyperlink w:history="0" w:anchor="P2156" w:tooltip="не являться в течение 3 лет (включая год обращения за единовременной финансовой помощью) получателем государственной социальной помощи на основании социального контракта для реализации мероприятия программы социальной адаптации по осуществлению индивидуальной предпринимательской деятельности;">
        <w:r>
          <w:rPr>
            <w:sz w:val="20"/>
            <w:color w:val="0000ff"/>
          </w:rPr>
          <w:t xml:space="preserve">абзацем девятым пункта 4.5</w:t>
        </w:r>
      </w:hyperlink>
      <w:r>
        <w:rPr>
          <w:sz w:val="20"/>
        </w:rPr>
        <w:t xml:space="preserve"> Порядка, - на основании сведений органов социальной защиты населения, представляемых центрам занятости населения на основании соответствующих запросов.</w:t>
      </w:r>
    </w:p>
    <w:p>
      <w:pPr>
        <w:pStyle w:val="0"/>
        <w:spacing w:before="200" w:line-rule="auto"/>
        <w:ind w:firstLine="540"/>
        <w:jc w:val="both"/>
      </w:pPr>
      <w:r>
        <w:rPr>
          <w:sz w:val="20"/>
        </w:rPr>
        <w:t xml:space="preserve">4.6.7. Требованию, установленному </w:t>
      </w:r>
      <w:hyperlink w:history="0" w:anchor="P2160" w:tooltip="относиться к одной из категорий граждан, предусмотренных абзацами с четвертого по девятый пункта 2.1 Порядка (за исключением граждан, предусмотренных абзацами вторым, третьим пункта 2.1 Порядка).">
        <w:r>
          <w:rPr>
            <w:sz w:val="20"/>
            <w:color w:val="0000ff"/>
          </w:rPr>
          <w:t xml:space="preserve">абзацем одиннадцатым пункта 4.5</w:t>
        </w:r>
      </w:hyperlink>
      <w:r>
        <w:rPr>
          <w:sz w:val="20"/>
        </w:rPr>
        <w:t xml:space="preserve"> Порядка, - на основании имеющихся в ведении центра занятости населения сведений о гражданах, состоящих на регистрационном учете.</w:t>
      </w:r>
    </w:p>
    <w:p>
      <w:pPr>
        <w:pStyle w:val="0"/>
        <w:jc w:val="both"/>
      </w:pPr>
      <w:r>
        <w:rPr>
          <w:sz w:val="20"/>
        </w:rPr>
        <w:t xml:space="preserve">(пп. 4.6.7 введен </w:t>
      </w:r>
      <w:hyperlink w:history="0" r:id="rId218" w:tooltip="Постановление Правительства ХМАО - Югры от 01.04.2022 N 11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01.04.2022 N 118-п; в ред. </w:t>
      </w:r>
      <w:hyperlink w:history="0" r:id="rId219"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4.6.8. Требованию, установленному </w:t>
      </w:r>
      <w:hyperlink w:history="0" w:anchor="P2158" w:tooltip="организовать собственное дело;">
        <w:r>
          <w:rPr>
            <w:sz w:val="20"/>
            <w:color w:val="0000ff"/>
          </w:rPr>
          <w:t xml:space="preserve">абзацем десятым пункта 4.5</w:t>
        </w:r>
      </w:hyperlink>
      <w:r>
        <w:rPr>
          <w:sz w:val="20"/>
        </w:rPr>
        <w:t xml:space="preserve"> Порядка, путем запроса выписки из Единого государственного реестра юридических лиц (в Федеральной налоговой службе Российской Федерации), Единого государственного реестра индивидуальных предпринимателей (в Федеральной налоговой службе Российской Федерации) либо в программном комплексе "Катарсис" через API публичного сервиса Федеральной налоговой службы Российской Федерации "Проверка статуса налогоплательщика налога на профессиональный доход (самозанятого)", либо на сайте Федеральной налоговой службы Российской Федерации с помощью сервиса "Проверка статуса налогоплательщика налога на профессиональный доход (самозанятого)".</w:t>
      </w:r>
    </w:p>
    <w:p>
      <w:pPr>
        <w:pStyle w:val="0"/>
        <w:spacing w:before="200" w:line-rule="auto"/>
        <w:ind w:firstLine="540"/>
        <w:jc w:val="both"/>
      </w:pPr>
      <w:r>
        <w:rPr>
          <w:sz w:val="20"/>
        </w:rPr>
        <w:t xml:space="preserve">Гражданин может самостоятельно представить выписку из Единого государственного реестра индивидуальных предпринимателей или из Единого государственного реестра юридических лиц либо справку о постановке на учет (снятии с учета) физического лица в качестве налогоплательщика налога на профессиональный доход, которую он формирует в мобильном приложении либо в веб-кабинете "Мой налог", сайте Федеральной налоговой службы.</w:t>
      </w:r>
    </w:p>
    <w:p>
      <w:pPr>
        <w:pStyle w:val="0"/>
        <w:jc w:val="both"/>
      </w:pPr>
      <w:r>
        <w:rPr>
          <w:sz w:val="20"/>
        </w:rPr>
        <w:t xml:space="preserve">(пп. 4.6.8 введен </w:t>
      </w:r>
      <w:hyperlink w:history="0" r:id="rId220"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14.07.2023 N 331-п)</w:t>
      </w:r>
    </w:p>
    <w:p>
      <w:pPr>
        <w:pStyle w:val="0"/>
        <w:spacing w:before="200" w:line-rule="auto"/>
        <w:ind w:firstLine="540"/>
        <w:jc w:val="both"/>
      </w:pPr>
      <w:r>
        <w:rPr>
          <w:sz w:val="20"/>
        </w:rPr>
        <w:t xml:space="preserve">4.7. В течение 5 рабочих дней после окончания проверки гражданина на соответствие установленным </w:t>
      </w:r>
      <w:hyperlink w:history="0" w:anchor="P2145" w:tooltip="4.5. На дату представления в центр занятости населения заявления и документов, предусмотренных пунктом 4.1 Порядка, гражданин должен соответствовать требованиям:">
        <w:r>
          <w:rPr>
            <w:sz w:val="20"/>
            <w:color w:val="0000ff"/>
          </w:rPr>
          <w:t xml:space="preserve">пунктом 4.5</w:t>
        </w:r>
      </w:hyperlink>
      <w:r>
        <w:rPr>
          <w:sz w:val="20"/>
        </w:rPr>
        <w:t xml:space="preserve"> Порядка требованиям центр занятости населения принимает решение об оказании единовременной финансовой помощи либо об отказе в оказании единовременной финансовой помощи, которое оформляет своим приказом.</w:t>
      </w:r>
    </w:p>
    <w:p>
      <w:pPr>
        <w:pStyle w:val="0"/>
        <w:jc w:val="both"/>
      </w:pPr>
      <w:r>
        <w:rPr>
          <w:sz w:val="20"/>
        </w:rPr>
        <w:t xml:space="preserve">(п. 4.7 в ред. </w:t>
      </w:r>
      <w:hyperlink w:history="0" r:id="rId221"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4.8. Основаниями для отказа гражданину в оказании единовременной финансовой помощи являются:</w:t>
      </w:r>
    </w:p>
    <w:p>
      <w:pPr>
        <w:pStyle w:val="0"/>
        <w:spacing w:before="200" w:line-rule="auto"/>
        <w:ind w:firstLine="540"/>
        <w:jc w:val="both"/>
      </w:pPr>
      <w:r>
        <w:rPr>
          <w:sz w:val="20"/>
        </w:rPr>
        <w:t xml:space="preserve">непредставление в центр занятости населения документов, предусмотренных </w:t>
      </w:r>
      <w:hyperlink w:history="0" w:anchor="P2130" w:tooltip="4.1. После получения заключения центра занятости населения по результатам предоставления государственной услуги по содействию самозанятости безработных граждан и организации собственного дела гражданин для получения единовременной финансовой помощи представляет в центр занятости населения:">
        <w:r>
          <w:rPr>
            <w:sz w:val="20"/>
            <w:color w:val="0000ff"/>
          </w:rPr>
          <w:t xml:space="preserve">пунктом 4.1</w:t>
        </w:r>
      </w:hyperlink>
      <w:r>
        <w:rPr>
          <w:sz w:val="20"/>
        </w:rPr>
        <w:t xml:space="preserve"> Порядка;</w:t>
      </w:r>
    </w:p>
    <w:p>
      <w:pPr>
        <w:pStyle w:val="0"/>
        <w:spacing w:before="200" w:line-rule="auto"/>
        <w:ind w:firstLine="540"/>
        <w:jc w:val="both"/>
      </w:pPr>
      <w:r>
        <w:rPr>
          <w:sz w:val="20"/>
        </w:rPr>
        <w:t xml:space="preserve">несоответствие гражданина требованиям, установленным </w:t>
      </w:r>
      <w:hyperlink w:history="0" w:anchor="P2145" w:tooltip="4.5. На дату представления в центр занятости населения заявления и документов, предусмотренных пунктом 4.1 Порядка, гражданин должен соответствовать требованиям:">
        <w:r>
          <w:rPr>
            <w:sz w:val="20"/>
            <w:color w:val="0000ff"/>
          </w:rPr>
          <w:t xml:space="preserve">пунктом 4.5</w:t>
        </w:r>
      </w:hyperlink>
      <w:r>
        <w:rPr>
          <w:sz w:val="20"/>
        </w:rPr>
        <w:t xml:space="preserve"> Порядка;</w:t>
      </w:r>
    </w:p>
    <w:p>
      <w:pPr>
        <w:pStyle w:val="0"/>
        <w:spacing w:before="200" w:line-rule="auto"/>
        <w:ind w:firstLine="540"/>
        <w:jc w:val="both"/>
      </w:pPr>
      <w:r>
        <w:rPr>
          <w:sz w:val="20"/>
        </w:rPr>
        <w:t xml:space="preserve">несоответствие вида экономической деятельности, по которому осуществлена государственная регистрация в качестве юридического лица, индивидуального предпринимателя, крестьянского (фермерского) хозяйства по виду деятельности, предусмотренному бизнес-планом.</w:t>
      </w:r>
    </w:p>
    <w:p>
      <w:pPr>
        <w:pStyle w:val="0"/>
        <w:jc w:val="both"/>
      </w:pPr>
      <w:r>
        <w:rPr>
          <w:sz w:val="20"/>
        </w:rPr>
        <w:t xml:space="preserve">(п. 4.8 в ред. </w:t>
      </w:r>
      <w:hyperlink w:history="0" r:id="rId22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4.9. Специалист центра занятости населения не позднее 1 рабочего дня со дня издания приказа об оказании единовременной финансовой помощи либо об отказе в оказании единовременной финансовой помощи:</w:t>
      </w:r>
    </w:p>
    <w:p>
      <w:pPr>
        <w:pStyle w:val="0"/>
        <w:spacing w:before="200" w:line-rule="auto"/>
        <w:ind w:firstLine="540"/>
        <w:jc w:val="both"/>
      </w:pPr>
      <w:r>
        <w:rPr>
          <w:sz w:val="20"/>
        </w:rPr>
        <w:t xml:space="preserve">4.9.1. Направляет с использованием единой цифровой платформы гражданину соответствующее уведомление.</w:t>
      </w:r>
    </w:p>
    <w:p>
      <w:pPr>
        <w:pStyle w:val="0"/>
        <w:spacing w:before="200" w:line-rule="auto"/>
        <w:ind w:firstLine="540"/>
        <w:jc w:val="both"/>
      </w:pPr>
      <w:r>
        <w:rPr>
          <w:sz w:val="20"/>
        </w:rPr>
        <w:t xml:space="preserve">4.9.2. Формирует проект договора об оказании единовременной финансовой помощи на организацию собственного дела (создание юридического лица, регистрацию индивидуальной предпринимательской деятельности, крестьянского (фермерского) хозяйства, постановку на учет в качестве налогоплательщика налога на профессиональный доход) (далее - договор).</w:t>
      </w:r>
    </w:p>
    <w:p>
      <w:pPr>
        <w:pStyle w:val="0"/>
        <w:spacing w:before="200" w:line-rule="auto"/>
        <w:ind w:firstLine="540"/>
        <w:jc w:val="both"/>
      </w:pPr>
      <w:r>
        <w:rPr>
          <w:sz w:val="20"/>
        </w:rPr>
        <w:t xml:space="preserve">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условий, целей и порядка предоставления единовременной финансовой помощи.</w:t>
      </w:r>
    </w:p>
    <w:p>
      <w:pPr>
        <w:pStyle w:val="0"/>
        <w:spacing w:before="200" w:line-rule="auto"/>
        <w:ind w:firstLine="540"/>
        <w:jc w:val="both"/>
      </w:pPr>
      <w:r>
        <w:rPr>
          <w:sz w:val="20"/>
        </w:rPr>
        <w:t xml:space="preserve">В договоре устанавливается порядок проверки гражданина на соответствие установленному </w:t>
      </w:r>
      <w:hyperlink w:history="0" w:anchor="P211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
        <w:r>
          <w:rPr>
            <w:sz w:val="20"/>
            <w:color w:val="0000ff"/>
          </w:rPr>
          <w:t xml:space="preserve">пунктом 3.4</w:t>
        </w:r>
      </w:hyperlink>
      <w:r>
        <w:rPr>
          <w:sz w:val="20"/>
        </w:rPr>
        <w:t xml:space="preserve"> Порядка условию.</w:t>
      </w:r>
    </w:p>
    <w:p>
      <w:pPr>
        <w:pStyle w:val="0"/>
        <w:spacing w:before="200" w:line-rule="auto"/>
        <w:ind w:firstLine="540"/>
        <w:jc w:val="both"/>
      </w:pPr>
      <w:r>
        <w:rPr>
          <w:sz w:val="20"/>
        </w:rPr>
        <w:t xml:space="preserve">4.9.3. Согласовывает с гражданином дату и время посещения центра занятости населения для заключения договора, вносит соответствующие сведения на единую цифровую платформу.</w:t>
      </w:r>
    </w:p>
    <w:p>
      <w:pPr>
        <w:pStyle w:val="0"/>
        <w:spacing w:before="200" w:line-rule="auto"/>
        <w:ind w:firstLine="540"/>
        <w:jc w:val="both"/>
      </w:pPr>
      <w:r>
        <w:rPr>
          <w:sz w:val="20"/>
        </w:rPr>
        <w:t xml:space="preserve">4.9.4. Направляет с использованием единой цифровой платформы гражданину уведомление о дате посещения центра занятости населения для заключения договора.</w:t>
      </w:r>
    </w:p>
    <w:p>
      <w:pPr>
        <w:pStyle w:val="0"/>
        <w:spacing w:before="200" w:line-rule="auto"/>
        <w:ind w:firstLine="540"/>
        <w:jc w:val="both"/>
      </w:pPr>
      <w:r>
        <w:rPr>
          <w:sz w:val="20"/>
        </w:rPr>
        <w:t xml:space="preserve">4.9.5. В случае явки гражданина в назначенные дату и время центр занятости населения заключает с ним договор. В случае неявки гражданина он считается отказавшимся от заключения договора.</w:t>
      </w:r>
    </w:p>
    <w:p>
      <w:pPr>
        <w:pStyle w:val="0"/>
        <w:spacing w:before="200" w:line-rule="auto"/>
        <w:ind w:firstLine="540"/>
        <w:jc w:val="both"/>
      </w:pPr>
      <w:r>
        <w:rPr>
          <w:sz w:val="20"/>
        </w:rPr>
        <w:t xml:space="preserve">В случае отказа гражданина от заключения договора предоставление государственной услуги по содействию самозанятости безработных граждан прекращается, гражданин считается отказавшимся от ее предоставления, в том числе от получения единовременной финансовой помощи.</w:t>
      </w:r>
    </w:p>
    <w:p>
      <w:pPr>
        <w:pStyle w:val="0"/>
        <w:spacing w:before="200" w:line-rule="auto"/>
        <w:ind w:firstLine="540"/>
        <w:jc w:val="both"/>
      </w:pPr>
      <w:r>
        <w:rPr>
          <w:sz w:val="20"/>
        </w:rPr>
        <w:t xml:space="preserve">4.9.6. Информирует гражданина об услугах и мерах поддержки, предоставляемых организациями инфраструктуры поддержки субъектов малого и среднего предпринимательства с целью получения гражданином навыков предпринимательской деятельности, консультационных услуг по вопросам организации собственного дела, финансового планирования, правового обеспечения, информационного сопровождения и возможности получения кредитных и иных финансовых ресурсов.</w:t>
      </w:r>
    </w:p>
    <w:p>
      <w:pPr>
        <w:pStyle w:val="0"/>
        <w:jc w:val="both"/>
      </w:pPr>
      <w:r>
        <w:rPr>
          <w:sz w:val="20"/>
        </w:rPr>
        <w:t xml:space="preserve">(пп. 4.9.6 введен </w:t>
      </w:r>
      <w:hyperlink w:history="0" r:id="rId223"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13.10.2023 N 507-п)</w:t>
      </w:r>
    </w:p>
    <w:p>
      <w:pPr>
        <w:pStyle w:val="0"/>
        <w:jc w:val="both"/>
      </w:pPr>
      <w:r>
        <w:rPr>
          <w:sz w:val="20"/>
        </w:rPr>
        <w:t xml:space="preserve">(п. 4.9 в ред. </w:t>
      </w:r>
      <w:hyperlink w:history="0" r:id="rId224"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4.10. Граждане, осуществившие соответствующую государственную регистрацию по видам деятельности, подлежащей лицензированию (получению разрешения), в течение 90 календарных дней со дня государственной регистрации лицензируют деятельность (получают разрешение на ведение деятельности) в органах, уполномоченных на осуществление лицензирования (выдачу разрешения), и представляют в центр занятости населения копию лицензии (разрешения) с предъявлением оригинала в случае если копия не заверена нотариально.</w:t>
      </w:r>
    </w:p>
    <w:p>
      <w:pPr>
        <w:pStyle w:val="0"/>
        <w:jc w:val="both"/>
      </w:pPr>
      <w:r>
        <w:rPr>
          <w:sz w:val="20"/>
        </w:rPr>
        <w:t xml:space="preserve">(п. 4.10 в ред. </w:t>
      </w:r>
      <w:hyperlink w:history="0" r:id="rId225"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4.11. Утратил силу с 14 июля 2023 года. - </w:t>
      </w:r>
      <w:hyperlink w:history="0" r:id="rId226"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14.07.2023 N 331-п.</w:t>
      </w:r>
    </w:p>
    <w:p>
      <w:pPr>
        <w:pStyle w:val="0"/>
        <w:jc w:val="both"/>
      </w:pPr>
      <w:r>
        <w:rPr>
          <w:sz w:val="20"/>
        </w:rPr>
      </w:r>
    </w:p>
    <w:p>
      <w:pPr>
        <w:pStyle w:val="2"/>
        <w:outlineLvl w:val="1"/>
        <w:jc w:val="center"/>
      </w:pPr>
      <w:r>
        <w:rPr>
          <w:sz w:val="20"/>
        </w:rPr>
        <w:t xml:space="preserve">V. Порядок перечисления единовременной финансовой помощи</w:t>
      </w:r>
    </w:p>
    <w:p>
      <w:pPr>
        <w:pStyle w:val="0"/>
        <w:jc w:val="center"/>
      </w:pPr>
      <w:r>
        <w:rPr>
          <w:sz w:val="20"/>
        </w:rPr>
        <w:t xml:space="preserve">(в ред. </w:t>
      </w:r>
      <w:hyperlink w:history="0" r:id="rId227"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14.07.2023 N 331-п)</w:t>
      </w:r>
    </w:p>
    <w:p>
      <w:pPr>
        <w:pStyle w:val="0"/>
        <w:jc w:val="both"/>
      </w:pPr>
      <w:r>
        <w:rPr>
          <w:sz w:val="20"/>
        </w:rPr>
      </w:r>
    </w:p>
    <w:p>
      <w:pPr>
        <w:pStyle w:val="0"/>
        <w:ind w:firstLine="540"/>
        <w:jc w:val="both"/>
      </w:pPr>
      <w:r>
        <w:rPr>
          <w:sz w:val="20"/>
        </w:rPr>
        <w:t xml:space="preserve">5.1. Перечисление единовременной финансовой помощи осуществляет центр занятости населения на основании своего приказа в течение 10 рабочих дней с даты заключения договора на лицевой счет гражданина, указанный в договоре, отдельным платежным поручением с указанием целевого назначения (направления) ее расходования.</w:t>
      </w:r>
    </w:p>
    <w:p>
      <w:pPr>
        <w:pStyle w:val="0"/>
        <w:spacing w:before="200" w:line-rule="auto"/>
        <w:ind w:firstLine="540"/>
        <w:jc w:val="both"/>
      </w:pPr>
      <w:r>
        <w:rPr>
          <w:sz w:val="20"/>
        </w:rPr>
        <w:t xml:space="preserve">5.2. Расходы на оплату банковских услуг, связанных с перечислением единовременной финансовой помощи, осуществляются за счет средств, выделенных на мероприятие.</w:t>
      </w:r>
    </w:p>
    <w:p>
      <w:pPr>
        <w:pStyle w:val="0"/>
        <w:spacing w:before="200" w:line-rule="auto"/>
        <w:ind w:firstLine="540"/>
        <w:jc w:val="both"/>
      </w:pPr>
      <w:r>
        <w:rPr>
          <w:sz w:val="20"/>
        </w:rPr>
        <w:t xml:space="preserve">5.3. Перечисление гражданину единовременной финансовой помощи центр занятости населения не производит в случаях его:</w:t>
      </w:r>
    </w:p>
    <w:p>
      <w:pPr>
        <w:pStyle w:val="0"/>
        <w:spacing w:before="200" w:line-rule="auto"/>
        <w:ind w:firstLine="540"/>
        <w:jc w:val="both"/>
      </w:pPr>
      <w:r>
        <w:rPr>
          <w:sz w:val="20"/>
        </w:rPr>
        <w:t xml:space="preserve">смерти на момент перечисления единовременной финансовой помощи;</w:t>
      </w:r>
    </w:p>
    <w:p>
      <w:pPr>
        <w:pStyle w:val="0"/>
        <w:spacing w:before="200" w:line-rule="auto"/>
        <w:ind w:firstLine="540"/>
        <w:jc w:val="both"/>
      </w:pPr>
      <w:r>
        <w:rPr>
          <w:sz w:val="20"/>
        </w:rPr>
        <w:t xml:space="preserve">осуждения к наказанию в виде лишения свободы на момент перечисления единовременной финансовой помощи;</w:t>
      </w:r>
    </w:p>
    <w:p>
      <w:pPr>
        <w:pStyle w:val="0"/>
        <w:spacing w:before="200" w:line-rule="auto"/>
        <w:ind w:firstLine="540"/>
        <w:jc w:val="both"/>
      </w:pPr>
      <w:r>
        <w:rPr>
          <w:sz w:val="20"/>
        </w:rPr>
        <w:t xml:space="preserve">отказа от предоставления единовременной финансовой помощи по личному письменному заявлению на момент перечисления единовременной финансовой помощи.</w:t>
      </w:r>
    </w:p>
    <w:bookmarkStart w:id="2211" w:name="P2211"/>
    <w:bookmarkEnd w:id="2211"/>
    <w:p>
      <w:pPr>
        <w:pStyle w:val="0"/>
        <w:spacing w:before="200" w:line-rule="auto"/>
        <w:ind w:firstLine="540"/>
        <w:jc w:val="both"/>
      </w:pPr>
      <w:r>
        <w:rPr>
          <w:sz w:val="20"/>
        </w:rPr>
        <w:t xml:space="preserve">5.4. Целевое использование полученной единовременной финансовой помощи гражданин подтверждает представлением в центр занятости населения не позднее 5 рабочих дней по истечении 9 месяцев со дня ее перечисления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w:t>
      </w:r>
    </w:p>
    <w:p>
      <w:pPr>
        <w:pStyle w:val="0"/>
        <w:spacing w:before="200" w:line-rule="auto"/>
        <w:ind w:firstLine="540"/>
        <w:jc w:val="both"/>
      </w:pPr>
      <w:r>
        <w:rPr>
          <w:sz w:val="20"/>
        </w:rPr>
        <w:t xml:space="preserve">Порядок продления срока представления копий отчетных документов, подтверждающих целевое использование полученной единовременной финансовой помощи, определяется договором.</w:t>
      </w:r>
    </w:p>
    <w:p>
      <w:pPr>
        <w:pStyle w:val="0"/>
        <w:spacing w:before="200" w:line-rule="auto"/>
        <w:ind w:firstLine="540"/>
        <w:jc w:val="both"/>
      </w:pPr>
      <w:r>
        <w:rPr>
          <w:sz w:val="20"/>
        </w:rPr>
        <w:t xml:space="preserve">5.5. Центр занятости населения не позднее 5 рабочих дней со дня представления гражданином отчетных документов, предусмотренных </w:t>
      </w:r>
      <w:hyperlink w:history="0" w:anchor="P2211" w:tooltip="5.4. Целевое использование полученной единовременной финансовой помощи гражданин подтверждает представлением в центр занятости населения не позднее 5 рабочих дней по истечении 9 месяцев со дня ее перечис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
        <w:r>
          <w:rPr>
            <w:sz w:val="20"/>
            <w:color w:val="0000ff"/>
          </w:rPr>
          <w:t xml:space="preserve">пунктом 5.4</w:t>
        </w:r>
      </w:hyperlink>
      <w:r>
        <w:rPr>
          <w:sz w:val="20"/>
        </w:rPr>
        <w:t xml:space="preserve"> Порядка:</w:t>
      </w:r>
    </w:p>
    <w:p>
      <w:pPr>
        <w:pStyle w:val="0"/>
        <w:spacing w:before="200" w:line-rule="auto"/>
        <w:ind w:firstLine="540"/>
        <w:jc w:val="both"/>
      </w:pPr>
      <w:r>
        <w:rPr>
          <w:sz w:val="20"/>
        </w:rPr>
        <w:t xml:space="preserve">осуществляет проверку их полноты;</w:t>
      </w:r>
    </w:p>
    <w:p>
      <w:pPr>
        <w:pStyle w:val="0"/>
        <w:spacing w:before="200" w:line-rule="auto"/>
        <w:ind w:firstLine="540"/>
        <w:jc w:val="both"/>
      </w:pPr>
      <w:r>
        <w:rPr>
          <w:sz w:val="20"/>
        </w:rPr>
        <w:t xml:space="preserve">проверяет их содержание;</w:t>
      </w:r>
    </w:p>
    <w:p>
      <w:pPr>
        <w:pStyle w:val="0"/>
        <w:spacing w:before="200" w:line-rule="auto"/>
        <w:ind w:firstLine="540"/>
        <w:jc w:val="both"/>
      </w:pPr>
      <w:r>
        <w:rPr>
          <w:sz w:val="20"/>
        </w:rPr>
        <w:t xml:space="preserve">вносит в единую цифровую платформу соответствующие сведения;</w:t>
      </w:r>
    </w:p>
    <w:p>
      <w:pPr>
        <w:pStyle w:val="0"/>
        <w:spacing w:before="200" w:line-rule="auto"/>
        <w:ind w:firstLine="540"/>
        <w:jc w:val="both"/>
      </w:pPr>
      <w:r>
        <w:rPr>
          <w:sz w:val="20"/>
        </w:rPr>
        <w:t xml:space="preserve">фиксирует в единой цифровой платформе перечень подтвержденных затрат.</w:t>
      </w:r>
    </w:p>
    <w:p>
      <w:pPr>
        <w:pStyle w:val="0"/>
        <w:spacing w:before="200" w:line-rule="auto"/>
        <w:ind w:firstLine="540"/>
        <w:jc w:val="both"/>
      </w:pPr>
      <w:r>
        <w:rPr>
          <w:sz w:val="20"/>
        </w:rPr>
        <w:t xml:space="preserve">5.6. Для граждан, призванных в период действия договора на военную службу по контракту, по мобилизации в Вооруженные Силы Российской Федерации, сроки, указанные в </w:t>
      </w:r>
      <w:hyperlink w:history="0" w:anchor="P2125" w:tooltip="3.7. Единовременная финансовая помощь должна быть использована в течение девяти месяцев со дня ее перечисления.">
        <w:r>
          <w:rPr>
            <w:sz w:val="20"/>
            <w:color w:val="0000ff"/>
          </w:rPr>
          <w:t xml:space="preserve">пунктах 3.7</w:t>
        </w:r>
      </w:hyperlink>
      <w:r>
        <w:rPr>
          <w:sz w:val="20"/>
        </w:rPr>
        <w:t xml:space="preserve">, </w:t>
      </w:r>
      <w:hyperlink w:history="0" w:anchor="P2211" w:tooltip="5.4. Целевое использование полученной единовременной финансовой помощи гражданин подтверждает представлением в центр занятости населения не позднее 5 рабочих дней по истечении 9 месяцев со дня ее перечис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
        <w:r>
          <w:rPr>
            <w:sz w:val="20"/>
            <w:color w:val="0000ff"/>
          </w:rPr>
          <w:t xml:space="preserve">5.4</w:t>
        </w:r>
      </w:hyperlink>
      <w:r>
        <w:rPr>
          <w:sz w:val="20"/>
        </w:rPr>
        <w:t xml:space="preserve"> Порядка, продлеваются на период прохождения ими военной службы, что оформляется путем заключения дополнительного соглашения к договору.</w:t>
      </w:r>
    </w:p>
    <w:p>
      <w:pPr>
        <w:pStyle w:val="0"/>
        <w:spacing w:before="200" w:line-rule="auto"/>
        <w:ind w:firstLine="540"/>
        <w:jc w:val="both"/>
      </w:pPr>
      <w:r>
        <w:rPr>
          <w:sz w:val="20"/>
        </w:rPr>
        <w:t xml:space="preserve">При невозможности личной явки гражданина для подписания дополнительного соглашения к договору центр занятости населения направляет дополнительное соглашение с уведомлением по адресу, указанному в договоре.</w:t>
      </w:r>
    </w:p>
    <w:p>
      <w:pPr>
        <w:pStyle w:val="0"/>
        <w:jc w:val="both"/>
      </w:pPr>
      <w:r>
        <w:rPr>
          <w:sz w:val="20"/>
        </w:rPr>
        <w:t xml:space="preserve">(абзац введен </w:t>
      </w:r>
      <w:hyperlink w:history="0" r:id="rId228"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13.10.2023 N 507-п)</w:t>
      </w:r>
    </w:p>
    <w:p>
      <w:pPr>
        <w:pStyle w:val="0"/>
        <w:spacing w:before="200" w:line-rule="auto"/>
        <w:ind w:firstLine="540"/>
        <w:jc w:val="both"/>
      </w:pPr>
      <w:r>
        <w:rPr>
          <w:sz w:val="20"/>
        </w:rPr>
        <w:t xml:space="preserve">Гражданин представляет в центр занятости населения документы, подтверждающие нахождение в период действия договора на военной службе, в течение срока действия договора, но не позднее 30 календарных дней после окончания его нахождения на военной службе.</w:t>
      </w:r>
    </w:p>
    <w:p>
      <w:pPr>
        <w:pStyle w:val="0"/>
        <w:jc w:val="both"/>
      </w:pPr>
      <w:r>
        <w:rPr>
          <w:sz w:val="20"/>
        </w:rPr>
        <w:t xml:space="preserve">(абзац введен </w:t>
      </w:r>
      <w:hyperlink w:history="0" r:id="rId229"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13.10.2023 N 507-п)</w:t>
      </w:r>
    </w:p>
    <w:p>
      <w:pPr>
        <w:pStyle w:val="0"/>
        <w:jc w:val="both"/>
      </w:pPr>
      <w:r>
        <w:rPr>
          <w:sz w:val="20"/>
        </w:rPr>
      </w:r>
    </w:p>
    <w:p>
      <w:pPr>
        <w:pStyle w:val="2"/>
        <w:outlineLvl w:val="1"/>
        <w:jc w:val="center"/>
      </w:pPr>
      <w:r>
        <w:rPr>
          <w:sz w:val="20"/>
        </w:rPr>
        <w:t xml:space="preserve">Раздел VI. ТРЕБОВАНИЯ ОБ ОСУЩЕСТВЛЕНИИ КОНТРОЛЯ СОБЛЮДЕНИЯ</w:t>
      </w:r>
    </w:p>
    <w:p>
      <w:pPr>
        <w:pStyle w:val="2"/>
        <w:jc w:val="center"/>
      </w:pPr>
      <w:r>
        <w:rPr>
          <w:sz w:val="20"/>
        </w:rPr>
        <w:t xml:space="preserve">УСЛОВИЙ, ЦЕЛЕЙ И ПОРЯДКА ПРЕДОСТАВЛЕНИЯ ЕДИНОВРЕМЕННОЙ</w:t>
      </w:r>
    </w:p>
    <w:p>
      <w:pPr>
        <w:pStyle w:val="2"/>
        <w:jc w:val="center"/>
      </w:pPr>
      <w:r>
        <w:rPr>
          <w:sz w:val="20"/>
        </w:rPr>
        <w:t xml:space="preserve">ФИНАНСОВОЙ ПОМОЩИ И ОТВЕТСТВЕННОСТИ ЗА ИХ НАРУШЕНИЕ</w:t>
      </w:r>
    </w:p>
    <w:p>
      <w:pPr>
        <w:pStyle w:val="0"/>
        <w:jc w:val="both"/>
      </w:pPr>
      <w:r>
        <w:rPr>
          <w:sz w:val="20"/>
        </w:rPr>
      </w:r>
    </w:p>
    <w:p>
      <w:pPr>
        <w:pStyle w:val="0"/>
        <w:ind w:firstLine="540"/>
        <w:jc w:val="both"/>
      </w:pPr>
      <w:r>
        <w:rPr>
          <w:sz w:val="20"/>
        </w:rPr>
        <w:t xml:space="preserve">6.1. Контроль целевого использования полученной в соответствии с Порядком единовременной финансовой помощи, а также проверку соблюдения условий, целей и порядка ее предоставления осуществляет Департамент, центр занятости населения и орган государственного финансового контроля автономного округа.</w:t>
      </w:r>
    </w:p>
    <w:p>
      <w:pPr>
        <w:pStyle w:val="0"/>
        <w:spacing w:before="200" w:line-rule="auto"/>
        <w:ind w:firstLine="540"/>
        <w:jc w:val="both"/>
      </w:pPr>
      <w:r>
        <w:rPr>
          <w:sz w:val="20"/>
        </w:rPr>
        <w:t xml:space="preserve">6.2. Ответственность гражданина за нецелевое использование либо неиспользование предоставленной единовременной финансовой помощи определяется условиями договора.</w:t>
      </w:r>
    </w:p>
    <w:p>
      <w:pPr>
        <w:pStyle w:val="0"/>
        <w:spacing w:before="200" w:line-rule="auto"/>
        <w:ind w:firstLine="540"/>
        <w:jc w:val="both"/>
      </w:pPr>
      <w:r>
        <w:rPr>
          <w:sz w:val="20"/>
        </w:rPr>
        <w:t xml:space="preserve">6.3. Центр занятости населения принимает решение о возврате предоставленной в соответствии с Порядком единовременной финансовой помощи или ее части в случаях:</w:t>
      </w:r>
    </w:p>
    <w:bookmarkStart w:id="2231" w:name="P2231"/>
    <w:bookmarkEnd w:id="2231"/>
    <w:p>
      <w:pPr>
        <w:pStyle w:val="0"/>
        <w:spacing w:before="200" w:line-rule="auto"/>
        <w:ind w:firstLine="540"/>
        <w:jc w:val="both"/>
      </w:pPr>
      <w:r>
        <w:rPr>
          <w:sz w:val="20"/>
        </w:rPr>
        <w:t xml:space="preserve">нарушения гражданином условий договора;</w:t>
      </w:r>
    </w:p>
    <w:bookmarkStart w:id="2232" w:name="P2232"/>
    <w:bookmarkEnd w:id="2232"/>
    <w:p>
      <w:pPr>
        <w:pStyle w:val="0"/>
        <w:spacing w:before="200" w:line-rule="auto"/>
        <w:ind w:firstLine="540"/>
        <w:jc w:val="both"/>
      </w:pPr>
      <w:r>
        <w:rPr>
          <w:sz w:val="20"/>
        </w:rPr>
        <w:t xml:space="preserve">установления факта нецелевого использования либо неиспользования полученной в соответствии с Порядком единовременной финансовой помощи;</w:t>
      </w:r>
    </w:p>
    <w:bookmarkStart w:id="2233" w:name="P2233"/>
    <w:bookmarkEnd w:id="2233"/>
    <w:p>
      <w:pPr>
        <w:pStyle w:val="0"/>
        <w:spacing w:before="200" w:line-rule="auto"/>
        <w:ind w:firstLine="540"/>
        <w:jc w:val="both"/>
      </w:pPr>
      <w:r>
        <w:rPr>
          <w:sz w:val="20"/>
        </w:rPr>
        <w:t xml:space="preserve">непредставление гражданином в полном объеме документов, предусмотренных </w:t>
      </w:r>
      <w:hyperlink w:history="0" w:anchor="P2211" w:tooltip="5.4. Целевое использование полученной единовременной финансовой помощи гражданин подтверждает представлением в центр занятости населения не позднее 5 рабочих дней по истечении 9 месяцев со дня ее перечис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
        <w:r>
          <w:rPr>
            <w:sz w:val="20"/>
            <w:color w:val="0000ff"/>
          </w:rPr>
          <w:t xml:space="preserve">пунктом 5.4</w:t>
        </w:r>
      </w:hyperlink>
      <w:r>
        <w:rPr>
          <w:sz w:val="20"/>
        </w:rPr>
        <w:t xml:space="preserve"> Порядка;</w:t>
      </w:r>
    </w:p>
    <w:p>
      <w:pPr>
        <w:pStyle w:val="0"/>
        <w:jc w:val="both"/>
      </w:pPr>
      <w:r>
        <w:rPr>
          <w:sz w:val="20"/>
        </w:rPr>
        <w:t xml:space="preserve">(в ред. </w:t>
      </w:r>
      <w:hyperlink w:history="0" r:id="rId230"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bookmarkStart w:id="2235" w:name="P2235"/>
    <w:bookmarkEnd w:id="2235"/>
    <w:p>
      <w:pPr>
        <w:pStyle w:val="0"/>
        <w:spacing w:before="200" w:line-rule="auto"/>
        <w:ind w:firstLine="540"/>
        <w:jc w:val="both"/>
      </w:pPr>
      <w:r>
        <w:rPr>
          <w:sz w:val="20"/>
        </w:rPr>
        <w:t xml:space="preserve">нарушения гражданином установленных Порядком условий предоставления единовременной финансовой помощи, выявленных по фактам проверок, проведенных Департаментом, центром занятости населения и органом государственного финансового контроля;</w:t>
      </w:r>
    </w:p>
    <w:bookmarkStart w:id="2236" w:name="P2236"/>
    <w:bookmarkEnd w:id="2236"/>
    <w:p>
      <w:pPr>
        <w:pStyle w:val="0"/>
        <w:spacing w:before="200" w:line-rule="auto"/>
        <w:ind w:firstLine="540"/>
        <w:jc w:val="both"/>
      </w:pPr>
      <w:r>
        <w:rPr>
          <w:sz w:val="20"/>
        </w:rPr>
        <w:t xml:space="preserve">уклонения гражданина от контроля Департамента, центра занятости населения и органа государственного финансового контроля соблюдения им условий договора, Порядка.</w:t>
      </w:r>
    </w:p>
    <w:p>
      <w:pPr>
        <w:pStyle w:val="0"/>
        <w:spacing w:before="200" w:line-rule="auto"/>
        <w:ind w:firstLine="540"/>
        <w:jc w:val="both"/>
      </w:pPr>
      <w:r>
        <w:rPr>
          <w:sz w:val="20"/>
        </w:rPr>
        <w:t xml:space="preserve">6.4. Центр занятости населения в течение 15 календарных дней со дня выявления оснований для возврата единовременной финансовой помощи или ее части направляет в адрес гражданина почтовым отправлением с уведомлением о вручении письменное требование о возврате единовременной финансовой помощи или ее части (далее - требование).</w:t>
      </w:r>
    </w:p>
    <w:p>
      <w:pPr>
        <w:pStyle w:val="0"/>
        <w:spacing w:before="200" w:line-rule="auto"/>
        <w:ind w:firstLine="540"/>
        <w:jc w:val="both"/>
      </w:pPr>
      <w:r>
        <w:rPr>
          <w:sz w:val="20"/>
        </w:rPr>
        <w:t xml:space="preserve">6.4.1. В случаях, установленных </w:t>
      </w:r>
      <w:hyperlink w:history="0" w:anchor="P2233" w:tooltip="непредставление гражданином в полном объеме документов, предусмотренных пунктом 5.4 Порядка;">
        <w:r>
          <w:rPr>
            <w:sz w:val="20"/>
            <w:color w:val="0000ff"/>
          </w:rPr>
          <w:t xml:space="preserve">абзацем четвертым пункта 6.3</w:t>
        </w:r>
      </w:hyperlink>
      <w:r>
        <w:rPr>
          <w:sz w:val="20"/>
        </w:rPr>
        <w:t xml:space="preserve"> Порядка, осуществляется возврат части единовременной финансовой помощи в размере, не подтвержденном отчетными документами, предусмотренными </w:t>
      </w:r>
      <w:hyperlink w:history="0" w:anchor="P2211" w:tooltip="5.4. Целевое использование полученной единовременной финансовой помощи гражданин подтверждает представлением в центр занятости населения не позднее 5 рабочих дней по истечении 9 месяцев со дня ее перечис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
        <w:r>
          <w:rPr>
            <w:sz w:val="20"/>
            <w:color w:val="0000ff"/>
          </w:rPr>
          <w:t xml:space="preserve">пунктом 5.4</w:t>
        </w:r>
      </w:hyperlink>
      <w:r>
        <w:rPr>
          <w:sz w:val="20"/>
        </w:rPr>
        <w:t xml:space="preserve"> Порядка.</w:t>
      </w:r>
    </w:p>
    <w:p>
      <w:pPr>
        <w:pStyle w:val="0"/>
        <w:spacing w:before="200" w:line-rule="auto"/>
        <w:ind w:firstLine="540"/>
        <w:jc w:val="both"/>
      </w:pPr>
      <w:r>
        <w:rPr>
          <w:sz w:val="20"/>
        </w:rPr>
        <w:t xml:space="preserve">Расчет суммы единовременной финансовой помощи, подлежащей возврату, осуществляется исходя из суммы перечисленных получателю средств и суммы средств единовременной финансовой помощи, фактически израсходованной гражданином в соответствии с бизнес-планом и подтвержденной отчетными документами, подтверждающими расходы, произведенные за счет единовременной финансовой помощи, и определяется по формуле:</w:t>
      </w:r>
    </w:p>
    <w:p>
      <w:pPr>
        <w:pStyle w:val="0"/>
        <w:ind w:firstLine="540"/>
        <w:jc w:val="both"/>
      </w:pPr>
      <w:r>
        <w:rPr>
          <w:sz w:val="20"/>
        </w:rPr>
      </w:r>
    </w:p>
    <w:p>
      <w:pPr>
        <w:pStyle w:val="0"/>
        <w:ind w:firstLine="540"/>
        <w:jc w:val="both"/>
      </w:pPr>
      <w:r>
        <w:rPr>
          <w:sz w:val="20"/>
        </w:rPr>
        <w:t xml:space="preserve">Срв = Срфп - Срп, где:</w:t>
      </w:r>
    </w:p>
    <w:p>
      <w:pPr>
        <w:pStyle w:val="0"/>
        <w:ind w:firstLine="540"/>
        <w:jc w:val="both"/>
      </w:pPr>
      <w:r>
        <w:rPr>
          <w:sz w:val="20"/>
        </w:rPr>
      </w:r>
    </w:p>
    <w:p>
      <w:pPr>
        <w:pStyle w:val="0"/>
        <w:ind w:firstLine="540"/>
        <w:jc w:val="both"/>
      </w:pPr>
      <w:r>
        <w:rPr>
          <w:sz w:val="20"/>
        </w:rPr>
        <w:t xml:space="preserve">Срв - сумма средств единовременной финансовой помощи, подлежащая возврату на лицевой счет центра занятости населения;</w:t>
      </w:r>
    </w:p>
    <w:p>
      <w:pPr>
        <w:pStyle w:val="0"/>
        <w:spacing w:before="200" w:line-rule="auto"/>
        <w:ind w:firstLine="540"/>
        <w:jc w:val="both"/>
      </w:pPr>
      <w:r>
        <w:rPr>
          <w:sz w:val="20"/>
        </w:rPr>
        <w:t xml:space="preserve">Срфп - сумма средств единовременной финансовой помощи, перечисленная центром занятости населения в соответствии с условиями договора;</w:t>
      </w:r>
    </w:p>
    <w:p>
      <w:pPr>
        <w:pStyle w:val="0"/>
        <w:spacing w:before="200" w:line-rule="auto"/>
        <w:ind w:firstLine="540"/>
        <w:jc w:val="both"/>
      </w:pPr>
      <w:r>
        <w:rPr>
          <w:sz w:val="20"/>
        </w:rPr>
        <w:t xml:space="preserve">Срп - сумма средств единовременной финансовой помощи, израсходованная по статьям расходов, предусмотренных бизнес-планом, с приложением отчетных документов, подтверждающих соответствующие расходы, произведенные за счет единовременной финансовой помощи.</w:t>
      </w:r>
    </w:p>
    <w:p>
      <w:pPr>
        <w:pStyle w:val="0"/>
        <w:spacing w:before="200" w:line-rule="auto"/>
        <w:ind w:firstLine="540"/>
        <w:jc w:val="both"/>
      </w:pPr>
      <w:r>
        <w:rPr>
          <w:sz w:val="20"/>
        </w:rPr>
        <w:t xml:space="preserve">6.4.2. В случаях, установленных </w:t>
      </w:r>
      <w:hyperlink w:history="0" w:anchor="P2231" w:tooltip="нарушения гражданином условий договора;">
        <w:r>
          <w:rPr>
            <w:sz w:val="20"/>
            <w:color w:val="0000ff"/>
          </w:rPr>
          <w:t xml:space="preserve">абзацами вторым</w:t>
        </w:r>
      </w:hyperlink>
      <w:r>
        <w:rPr>
          <w:sz w:val="20"/>
        </w:rPr>
        <w:t xml:space="preserve">, </w:t>
      </w:r>
      <w:hyperlink w:history="0" w:anchor="P2232" w:tooltip="установления факта нецелевого использования либо неиспользования полученной в соответствии с Порядком единовременной финансовой помощи;">
        <w:r>
          <w:rPr>
            <w:sz w:val="20"/>
            <w:color w:val="0000ff"/>
          </w:rPr>
          <w:t xml:space="preserve">третьим</w:t>
        </w:r>
      </w:hyperlink>
      <w:r>
        <w:rPr>
          <w:sz w:val="20"/>
        </w:rPr>
        <w:t xml:space="preserve">, </w:t>
      </w:r>
      <w:hyperlink w:history="0" w:anchor="P2235" w:tooltip="нарушения гражданином установленных Порядком условий предоставления единовременной финансовой помощи, выявленных по фактам проверок, проведенных Департаментом, центром занятости населения и органом государственного финансового контроля;">
        <w:r>
          <w:rPr>
            <w:sz w:val="20"/>
            <w:color w:val="0000ff"/>
          </w:rPr>
          <w:t xml:space="preserve">пятым</w:t>
        </w:r>
      </w:hyperlink>
      <w:r>
        <w:rPr>
          <w:sz w:val="20"/>
        </w:rPr>
        <w:t xml:space="preserve">, </w:t>
      </w:r>
      <w:hyperlink w:history="0" w:anchor="P2236" w:tooltip="уклонения гражданина от контроля Департамента, центра занятости населения и органа государственного финансового контроля соблюдения им условий договора, Порядка.">
        <w:r>
          <w:rPr>
            <w:sz w:val="20"/>
            <w:color w:val="0000ff"/>
          </w:rPr>
          <w:t xml:space="preserve">шестым пункта 6.3</w:t>
        </w:r>
      </w:hyperlink>
      <w:r>
        <w:rPr>
          <w:sz w:val="20"/>
        </w:rPr>
        <w:t xml:space="preserve"> Порядка, гражданин осуществляет возврат единовременной финансовой помощи в полном размере.</w:t>
      </w:r>
    </w:p>
    <w:p>
      <w:pPr>
        <w:pStyle w:val="0"/>
        <w:jc w:val="both"/>
      </w:pPr>
      <w:r>
        <w:rPr>
          <w:sz w:val="20"/>
        </w:rPr>
        <w:t xml:space="preserve">(п. 6.4 в ред. </w:t>
      </w:r>
      <w:hyperlink w:history="0" r:id="rId231"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6.5. Возврат предоставленной единовременной финансовой помощи в бюджет автономного округа гражданин осуществляет в течение десяти календарных дней с даты получения требования.</w:t>
      </w:r>
    </w:p>
    <w:p>
      <w:pPr>
        <w:pStyle w:val="0"/>
        <w:spacing w:before="200" w:line-rule="auto"/>
        <w:ind w:firstLine="540"/>
        <w:jc w:val="both"/>
      </w:pPr>
      <w:r>
        <w:rPr>
          <w:sz w:val="20"/>
        </w:rPr>
        <w:t xml:space="preserve">6.6. В случае невыполнения требования взыскание осуществляется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2261" w:name="P2261"/>
    <w:bookmarkEnd w:id="2261"/>
    <w:p>
      <w:pPr>
        <w:pStyle w:val="2"/>
        <w:jc w:val="center"/>
      </w:pPr>
      <w:r>
        <w:rPr>
          <w:sz w:val="20"/>
        </w:rPr>
        <w:t xml:space="preserve">ПОРЯДОК</w:t>
      </w:r>
    </w:p>
    <w:p>
      <w:pPr>
        <w:pStyle w:val="2"/>
        <w:jc w:val="center"/>
      </w:pPr>
      <w:r>
        <w:rPr>
          <w:sz w:val="20"/>
        </w:rPr>
        <w:t xml:space="preserve">ПРЕДОСТАВЛЕНИЯ ИЗ БЮДЖЕТА ХАНТЫ-МАНСИЙСКОГО АВТОНОМНОГО</w:t>
      </w:r>
    </w:p>
    <w:p>
      <w:pPr>
        <w:pStyle w:val="2"/>
        <w:jc w:val="center"/>
      </w:pPr>
      <w:r>
        <w:rPr>
          <w:sz w:val="20"/>
        </w:rPr>
        <w:t xml:space="preserve">ОКРУГА - ЮГРЫ ЕДИНОВРЕМЕННОЙ ФИНАНСОВОЙ ПОМОЩИ ГРАЖДАНИНУ</w:t>
      </w:r>
    </w:p>
    <w:p>
      <w:pPr>
        <w:pStyle w:val="2"/>
        <w:jc w:val="center"/>
      </w:pPr>
      <w:r>
        <w:rPr>
          <w:sz w:val="20"/>
        </w:rPr>
        <w:t xml:space="preserve">ПРЕДПЕНСИОННОГО ИЛИ ПЕНСИОННОГО ВОЗРАСТА ПРИ ГОСУДАРСТВЕННОЙ</w:t>
      </w:r>
    </w:p>
    <w:p>
      <w:pPr>
        <w:pStyle w:val="2"/>
        <w:jc w:val="center"/>
      </w:pPr>
      <w:r>
        <w:rPr>
          <w:sz w:val="20"/>
        </w:rPr>
        <w:t xml:space="preserve">РЕГИСТРАЦИИ В КАЧЕСТВЕ ИНДИВИДУАЛЬНОГО ПРЕДПРИНИМАТЕЛЯ,</w:t>
      </w:r>
    </w:p>
    <w:p>
      <w:pPr>
        <w:pStyle w:val="2"/>
        <w:jc w:val="center"/>
      </w:pPr>
      <w:r>
        <w:rPr>
          <w:sz w:val="20"/>
        </w:rPr>
        <w:t xml:space="preserve">ГОСУДАРСТВЕННОЙ РЕГИСТРАЦИИ СОЗДАВАЕМОГО ЮРИДИЧЕСКОГО ЛИЦА,</w:t>
      </w:r>
    </w:p>
    <w:p>
      <w:pPr>
        <w:pStyle w:val="2"/>
        <w:jc w:val="center"/>
      </w:pPr>
      <w:r>
        <w:rPr>
          <w:sz w:val="20"/>
        </w:rPr>
        <w:t xml:space="preserve">ГОСУДАРСТВЕННОЙ РЕГИСТРАЦИИ КРЕСТЬЯНСКОГО (ФЕРМЕРСКОГО)</w:t>
      </w:r>
    </w:p>
    <w:p>
      <w:pPr>
        <w:pStyle w:val="2"/>
        <w:jc w:val="center"/>
      </w:pPr>
      <w:r>
        <w:rPr>
          <w:sz w:val="20"/>
        </w:rPr>
        <w:t xml:space="preserve">ХОЗЯЙСТВА, ПОСТАНОВКЕ НА УЧЕТ ФИЗИЧЕСКОГО ЛИЦА В КАЧЕСТВЕ</w:t>
      </w:r>
    </w:p>
    <w:p>
      <w:pPr>
        <w:pStyle w:val="2"/>
        <w:jc w:val="center"/>
      </w:pPr>
      <w:r>
        <w:rPr>
          <w:sz w:val="20"/>
        </w:rPr>
        <w:t xml:space="preserve">НАЛОГОПЛАТЕЛЬЩИКА НАЛОГА НА ПРОФЕССИОНАЛЬНЫЙ ДОХОД</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232"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13.10.2023 </w:t>
            </w:r>
            <w:hyperlink w:history="0" r:id="rId233"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507-п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Порядок определяет условия и размер предоставления из бюджета Ханты-Мансийского автономного округа - Югры единовременной финансовой помощи гражданину предпенсионного или пенсионного возраста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по направлению "Содействие началу осуществления предпринимательской деятельности отдельных категорий граждан, в том числе представителей коренных малочисленных народов Севера, постоянно проживающих в местах их традиционного проживания и традиционной хозяйственной деятельности" основного </w:t>
      </w:r>
      <w:hyperlink w:history="0" r:id="rId23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мероприятия 1.2</w:t>
        </w:r>
      </w:hyperlink>
      <w:r>
        <w:rPr>
          <w:sz w:val="20"/>
        </w:rP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мероприятие).</w:t>
      </w:r>
    </w:p>
    <w:p>
      <w:pPr>
        <w:pStyle w:val="0"/>
        <w:spacing w:before="200" w:line-rule="auto"/>
        <w:ind w:firstLine="540"/>
        <w:jc w:val="both"/>
      </w:pPr>
      <w:r>
        <w:rPr>
          <w:sz w:val="20"/>
        </w:rPr>
        <w:t xml:space="preserve">1.2. Финансовое обеспечение мероприятия осуществляется в пределах средств, выделенных Департаменту труда и занятости населения Ханты-Мансийского автономного округа - Югры,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1.3. В Порядке используются следующие понятия и сокращения:</w:t>
      </w:r>
    </w:p>
    <w:p>
      <w:pPr>
        <w:pStyle w:val="0"/>
        <w:spacing w:before="200" w:line-rule="auto"/>
        <w:ind w:firstLine="540"/>
        <w:jc w:val="both"/>
      </w:pPr>
      <w:r>
        <w:rPr>
          <w:sz w:val="20"/>
        </w:rPr>
        <w:t xml:space="preserve">автономный округ - Ханты-Мансийский автономный округ - Югра;</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 по месту жительства гражданина;</w:t>
      </w:r>
    </w:p>
    <w:p>
      <w:pPr>
        <w:pStyle w:val="0"/>
        <w:spacing w:before="200" w:line-rule="auto"/>
        <w:ind w:firstLine="540"/>
        <w:jc w:val="both"/>
      </w:pPr>
      <w:r>
        <w:rPr>
          <w:sz w:val="20"/>
        </w:rPr>
        <w:t xml:space="preserve">единовременная финансовая помощь - единовременная финансовая помощь гражданам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организация собственного дела -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гражданин предпенсионного возраста - не занятый трудовой деятельностью гражданин Российской Федерации (зарегистрированный в центре занятости населения в целях поиска подходящей работы и не признанный в установленном федеральным законодательством порядке и срок безработным), испытывающий трудности в поиске подходящей работы и обратившийся в центр занятости населения в течение 5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гражданин пенсионного возраста - не занятый трудовой деятельностью гражданин Российской Федерации (зарегистрированный в центре занятости населения в целях поиска подходящей работы и не признанный в установленном федеральным законодательством порядке и срок безработным) в возрасте до 70 лет, которому в соответствии с законодательством Российской Федерации назначена страховая пенсия по старости либо пенсия за выслугу лет;</w:t>
      </w:r>
    </w:p>
    <w:p>
      <w:pPr>
        <w:pStyle w:val="0"/>
        <w:spacing w:before="200" w:line-rule="auto"/>
        <w:ind w:firstLine="540"/>
        <w:jc w:val="both"/>
      </w:pPr>
      <w:r>
        <w:rPr>
          <w:sz w:val="20"/>
        </w:rPr>
        <w:t xml:space="preserve">гражданин - гражданин предпенсионного и (или) пенсионного возраста, постоянно проживающий на территории автономного округа;</w:t>
      </w:r>
    </w:p>
    <w:p>
      <w:pPr>
        <w:pStyle w:val="0"/>
        <w:spacing w:before="200" w:line-rule="auto"/>
        <w:ind w:firstLine="540"/>
        <w:jc w:val="both"/>
      </w:pPr>
      <w:r>
        <w:rPr>
          <w:sz w:val="20"/>
        </w:rPr>
        <w:t xml:space="preserve">рекомендация - рекомендация гражданину о государственной регистрации в качестве юридического лица, индивидуального предпринимателя либо крестьянского (фермерского) хозяйства с указанием вида экономической деятельности, приоритетного для муниципального образования автономного округа.</w:t>
      </w:r>
    </w:p>
    <w:p>
      <w:pPr>
        <w:pStyle w:val="0"/>
        <w:jc w:val="both"/>
      </w:pPr>
      <w:r>
        <w:rPr>
          <w:sz w:val="20"/>
        </w:rPr>
      </w:r>
    </w:p>
    <w:p>
      <w:pPr>
        <w:pStyle w:val="2"/>
        <w:outlineLvl w:val="1"/>
        <w:jc w:val="center"/>
      </w:pPr>
      <w:r>
        <w:rPr>
          <w:sz w:val="20"/>
        </w:rPr>
        <w:t xml:space="preserve">Раздел II. УЧАСТНИКИ МЕРОПРИЯТИЯ</w:t>
      </w:r>
    </w:p>
    <w:p>
      <w:pPr>
        <w:pStyle w:val="0"/>
        <w:jc w:val="both"/>
      </w:pPr>
      <w:r>
        <w:rPr>
          <w:sz w:val="20"/>
        </w:rPr>
      </w:r>
    </w:p>
    <w:p>
      <w:pPr>
        <w:pStyle w:val="0"/>
        <w:ind w:firstLine="540"/>
        <w:jc w:val="both"/>
      </w:pPr>
      <w:r>
        <w:rPr>
          <w:sz w:val="20"/>
        </w:rPr>
        <w:t xml:space="preserve">2.1. Участником мероприятия является гражданин.</w:t>
      </w:r>
    </w:p>
    <w:p>
      <w:pPr>
        <w:pStyle w:val="0"/>
        <w:jc w:val="both"/>
      </w:pPr>
      <w:r>
        <w:rPr>
          <w:sz w:val="20"/>
        </w:rPr>
      </w:r>
    </w:p>
    <w:p>
      <w:pPr>
        <w:pStyle w:val="2"/>
        <w:outlineLvl w:val="1"/>
        <w:jc w:val="center"/>
      </w:pPr>
      <w:r>
        <w:rPr>
          <w:sz w:val="20"/>
        </w:rPr>
        <w:t xml:space="preserve">Раздел III. НАЗНАЧЕНИЕ И РАЗМЕР ЕДИНОВРЕМЕННОЙ</w:t>
      </w:r>
    </w:p>
    <w:p>
      <w:pPr>
        <w:pStyle w:val="2"/>
        <w:jc w:val="center"/>
      </w:pPr>
      <w:r>
        <w:rPr>
          <w:sz w:val="20"/>
        </w:rPr>
        <w:t xml:space="preserve">ФИНАНСОВОЙ ПОМОЩИ</w:t>
      </w:r>
    </w:p>
    <w:p>
      <w:pPr>
        <w:pStyle w:val="0"/>
        <w:jc w:val="both"/>
      </w:pPr>
      <w:r>
        <w:rPr>
          <w:sz w:val="20"/>
        </w:rPr>
      </w:r>
    </w:p>
    <w:p>
      <w:pPr>
        <w:pStyle w:val="0"/>
        <w:ind w:firstLine="540"/>
        <w:jc w:val="both"/>
      </w:pPr>
      <w:r>
        <w:rPr>
          <w:sz w:val="20"/>
        </w:rPr>
        <w:t xml:space="preserve">3.1. Единовременная финансовая помощь предоставляется на цели, предусмотренные технико-экономическим обоснованием (далее - бизнес-план), по направлениям расходов:</w:t>
      </w:r>
    </w:p>
    <w:p>
      <w:pPr>
        <w:pStyle w:val="0"/>
        <w:spacing w:before="200" w:line-rule="auto"/>
        <w:ind w:firstLine="540"/>
        <w:jc w:val="both"/>
      </w:pPr>
      <w:r>
        <w:rPr>
          <w:sz w:val="20"/>
        </w:rPr>
        <w:t xml:space="preserve">а) аренда нежилых помещений, используемых для осуществления предпринимательской деятельности;</w:t>
      </w:r>
    </w:p>
    <w:p>
      <w:pPr>
        <w:pStyle w:val="0"/>
        <w:spacing w:before="200" w:line-rule="auto"/>
        <w:ind w:firstLine="540"/>
        <w:jc w:val="both"/>
      </w:pPr>
      <w:r>
        <w:rPr>
          <w:sz w:val="20"/>
        </w:rPr>
        <w:t xml:space="preserve">б) текущий ремонт зданий, помещений, сооружений, используемых для осуществления предпринимательской деятельности, в том числе предоставленных в аренду (если обязанности по текущему ремонту возложены на арендатора условиями договора аренды), включительно на приобретение строительных и отделочных материалов, - не более 20% от размера субсидии;</w:t>
      </w:r>
    </w:p>
    <w:p>
      <w:pPr>
        <w:pStyle w:val="0"/>
        <w:spacing w:before="200" w:line-rule="auto"/>
        <w:ind w:firstLine="540"/>
        <w:jc w:val="both"/>
      </w:pPr>
      <w:r>
        <w:rPr>
          <w:sz w:val="20"/>
        </w:rPr>
        <w:t xml:space="preserve">в) приобретение (сборка, установка) основных средств (оборудования, мебели, инструментов, электронно-вычислительной техники, копировально-множительного оборудования, контрольно-кассовой техники, оргтехники);</w:t>
      </w:r>
    </w:p>
    <w:p>
      <w:pPr>
        <w:pStyle w:val="0"/>
        <w:spacing w:before="200" w:line-rule="auto"/>
        <w:ind w:firstLine="540"/>
        <w:jc w:val="both"/>
      </w:pPr>
      <w:r>
        <w:rPr>
          <w:sz w:val="20"/>
        </w:rPr>
        <w:t xml:space="preserve">г) приобретение инструментов, техники, инвентаря, сырья, расходных материалов, топлива, запасных частей (включая аренду инструментов, техники, инвентаря);</w:t>
      </w:r>
    </w:p>
    <w:p>
      <w:pPr>
        <w:pStyle w:val="0"/>
        <w:spacing w:before="200" w:line-rule="auto"/>
        <w:ind w:firstLine="540"/>
        <w:jc w:val="both"/>
      </w:pPr>
      <w:r>
        <w:rPr>
          <w:sz w:val="20"/>
        </w:rPr>
        <w:t xml:space="preserve">д) приобретение сельскохозяйственных животных, в том числе молодняка и животных на откорме, птицы и пчел (при виде экономической деятельности "сельское хозяйство");</w:t>
      </w:r>
    </w:p>
    <w:p>
      <w:pPr>
        <w:pStyle w:val="0"/>
        <w:spacing w:before="200" w:line-rule="auto"/>
        <w:ind w:firstLine="540"/>
        <w:jc w:val="both"/>
      </w:pPr>
      <w:r>
        <w:rPr>
          <w:sz w:val="20"/>
        </w:rPr>
        <w:t xml:space="preserve">е) приобретение продукции растениеводства (при виде экономической деятельности "сельское хозяйство");</w:t>
      </w:r>
    </w:p>
    <w:p>
      <w:pPr>
        <w:pStyle w:val="0"/>
        <w:spacing w:before="200" w:line-rule="auto"/>
        <w:ind w:firstLine="540"/>
        <w:jc w:val="both"/>
      </w:pPr>
      <w:r>
        <w:rPr>
          <w:sz w:val="20"/>
        </w:rPr>
        <w:t xml:space="preserve">ж) приобретение кормов, добавок, витаминов (при виде экономической деятельности "сельское хозяйство");</w:t>
      </w:r>
    </w:p>
    <w:p>
      <w:pPr>
        <w:pStyle w:val="0"/>
        <w:spacing w:before="200" w:line-rule="auto"/>
        <w:ind w:firstLine="540"/>
        <w:jc w:val="both"/>
      </w:pPr>
      <w:r>
        <w:rPr>
          <w:sz w:val="20"/>
        </w:rPr>
        <w:t xml:space="preserve">з) приобретение продуктов, сырья, инвентаря для приготовления пищи и ее (их) хранения, изделий (при виде экономической деятельности "деятельность гостиниц и предприятий общественного питания");</w:t>
      </w:r>
    </w:p>
    <w:p>
      <w:pPr>
        <w:pStyle w:val="0"/>
        <w:spacing w:before="200" w:line-rule="auto"/>
        <w:ind w:firstLine="540"/>
        <w:jc w:val="both"/>
      </w:pPr>
      <w:r>
        <w:rPr>
          <w:sz w:val="20"/>
        </w:rPr>
        <w:t xml:space="preserve">и) строительство помещений для животных, птиц, растениеводства (при виде экономической деятельности "сельское хозяйство");</w:t>
      </w:r>
    </w:p>
    <w:p>
      <w:pPr>
        <w:pStyle w:val="0"/>
        <w:spacing w:before="200" w:line-rule="auto"/>
        <w:ind w:firstLine="540"/>
        <w:jc w:val="both"/>
      </w:pPr>
      <w:r>
        <w:rPr>
          <w:sz w:val="20"/>
        </w:rPr>
        <w:t xml:space="preserve">к) приобретение программного обеспечения;</w:t>
      </w:r>
    </w:p>
    <w:p>
      <w:pPr>
        <w:pStyle w:val="0"/>
        <w:spacing w:before="200" w:line-rule="auto"/>
        <w:ind w:firstLine="540"/>
        <w:jc w:val="both"/>
      </w:pPr>
      <w:r>
        <w:rPr>
          <w:sz w:val="20"/>
        </w:rPr>
        <w:t xml:space="preserve">л) транспортные расходы, связанные с доставкой приобретенных основных средств, сырья, материалов, топлива, запасных частей, товаров, животных и продукции растениеводства, продуктов для приготовления пищи, изделий (при виде экономической деятельности "деятельность гостиниц и предприятий общественного питания");</w:t>
      </w:r>
    </w:p>
    <w:p>
      <w:pPr>
        <w:pStyle w:val="0"/>
        <w:spacing w:before="200" w:line-rule="auto"/>
        <w:ind w:firstLine="540"/>
        <w:jc w:val="both"/>
      </w:pPr>
      <w:r>
        <w:rPr>
          <w:sz w:val="20"/>
        </w:rPr>
        <w:t xml:space="preserve">м) приобретение справочной и методической литературы;</w:t>
      </w:r>
    </w:p>
    <w:p>
      <w:pPr>
        <w:pStyle w:val="0"/>
        <w:spacing w:before="200" w:line-rule="auto"/>
        <w:ind w:firstLine="540"/>
        <w:jc w:val="both"/>
      </w:pPr>
      <w:r>
        <w:rPr>
          <w:sz w:val="20"/>
        </w:rPr>
        <w:t xml:space="preserve">н) изготовление и размещение рекламных материалов;</w:t>
      </w:r>
    </w:p>
    <w:p>
      <w:pPr>
        <w:pStyle w:val="0"/>
        <w:spacing w:before="200" w:line-rule="auto"/>
        <w:ind w:firstLine="540"/>
        <w:jc w:val="both"/>
      </w:pPr>
      <w:r>
        <w:rPr>
          <w:sz w:val="20"/>
        </w:rPr>
        <w:t xml:space="preserve">о) лицензирование отдельных видов деятельности и сертификация продукции и услуг;</w:t>
      </w:r>
    </w:p>
    <w:p>
      <w:pPr>
        <w:pStyle w:val="0"/>
        <w:spacing w:before="200" w:line-rule="auto"/>
        <w:ind w:firstLine="540"/>
        <w:jc w:val="both"/>
      </w:pPr>
      <w:r>
        <w:rPr>
          <w:sz w:val="20"/>
        </w:rPr>
        <w:t xml:space="preserve">п) организация доступа к сети местной телефонной и мобильной связи, информационно-телекоммуникационной сети Интернет;</w:t>
      </w:r>
    </w:p>
    <w:p>
      <w:pPr>
        <w:pStyle w:val="0"/>
        <w:spacing w:before="200" w:line-rule="auto"/>
        <w:ind w:firstLine="540"/>
        <w:jc w:val="both"/>
      </w:pPr>
      <w:r>
        <w:rPr>
          <w:sz w:val="20"/>
        </w:rPr>
        <w:t xml:space="preserve">р) подключение к инженерным сетям, включая электро-, водо- и теплоснабжение, водоотведение, установка вентиляционных систем, систем кондиционирования;</w:t>
      </w:r>
    </w:p>
    <w:p>
      <w:pPr>
        <w:pStyle w:val="0"/>
        <w:spacing w:before="200" w:line-rule="auto"/>
        <w:ind w:firstLine="540"/>
        <w:jc w:val="both"/>
      </w:pPr>
      <w:r>
        <w:rPr>
          <w:sz w:val="20"/>
        </w:rPr>
        <w:t xml:space="preserve">с) оплата услуг (страховые услуги, оплата электроэнергии, оплата связи, коммунальные услуги);</w:t>
      </w:r>
    </w:p>
    <w:p>
      <w:pPr>
        <w:pStyle w:val="0"/>
        <w:spacing w:before="200" w:line-rule="auto"/>
        <w:ind w:firstLine="540"/>
        <w:jc w:val="both"/>
      </w:pPr>
      <w:r>
        <w:rPr>
          <w:sz w:val="20"/>
        </w:rPr>
        <w:t xml:space="preserve">т) оплата услуг по созданию интернет-сайта для продвижения товаров/работ/услуг;</w:t>
      </w:r>
    </w:p>
    <w:p>
      <w:pPr>
        <w:pStyle w:val="0"/>
        <w:spacing w:before="200" w:line-rule="auto"/>
        <w:ind w:firstLine="540"/>
        <w:jc w:val="both"/>
      </w:pPr>
      <w:r>
        <w:rPr>
          <w:sz w:val="20"/>
        </w:rPr>
        <w:t xml:space="preserve">у) приобретение франшизы;</w:t>
      </w:r>
    </w:p>
    <w:p>
      <w:pPr>
        <w:pStyle w:val="0"/>
        <w:spacing w:before="200" w:line-rule="auto"/>
        <w:ind w:firstLine="540"/>
        <w:jc w:val="both"/>
      </w:pPr>
      <w:r>
        <w:rPr>
          <w:sz w:val="20"/>
        </w:rPr>
        <w:t xml:space="preserve">ф) приобретение транспортного средства для осуществления предпринимательской деятельности:</w:t>
      </w:r>
    </w:p>
    <w:p>
      <w:pPr>
        <w:pStyle w:val="0"/>
        <w:spacing w:before="200" w:line-rule="auto"/>
        <w:ind w:firstLine="540"/>
        <w:jc w:val="both"/>
      </w:pPr>
      <w:r>
        <w:rPr>
          <w:sz w:val="20"/>
        </w:rPr>
        <w:t xml:space="preserve">автомобильного транспорта (за исключением легковых автомобилей, кроме пикапов), включая грузовые (бортовые) автомобили, микроавтобусы с количеством сидячих мест более 8, специальные, специализированные, санитарные автотранспортные средства;</w:t>
      </w:r>
    </w:p>
    <w:p>
      <w:pPr>
        <w:pStyle w:val="0"/>
        <w:spacing w:before="200" w:line-rule="auto"/>
        <w:ind w:firstLine="540"/>
        <w:jc w:val="both"/>
      </w:pPr>
      <w:r>
        <w:rPr>
          <w:sz w:val="20"/>
        </w:rPr>
        <w:t xml:space="preserve">производственных маломерных судов, предназначенных для выполнения хозяйственных задач и функций: перевозка грузов и людей, промысел биоресурсов, водолазные работы.</w:t>
      </w:r>
    </w:p>
    <w:p>
      <w:pPr>
        <w:pStyle w:val="0"/>
        <w:spacing w:before="200" w:line-rule="auto"/>
        <w:ind w:firstLine="540"/>
        <w:jc w:val="both"/>
      </w:pPr>
      <w:r>
        <w:rPr>
          <w:sz w:val="20"/>
        </w:rPr>
        <w:t xml:space="preserve">3.2. Размер единовременной финансовой помощи не может превышать 220 000 рублей.</w:t>
      </w:r>
    </w:p>
    <w:p>
      <w:pPr>
        <w:pStyle w:val="0"/>
        <w:spacing w:before="200" w:line-rule="auto"/>
        <w:ind w:firstLine="540"/>
        <w:jc w:val="both"/>
      </w:pPr>
      <w:r>
        <w:rPr>
          <w:sz w:val="20"/>
        </w:rPr>
        <w:t xml:space="preserve">3.3. Повторное предоставление гражданину единовременной финансовой помощи в период действия государственной программы не допускается.</w:t>
      </w:r>
    </w:p>
    <w:bookmarkStart w:id="2322" w:name="P2322"/>
    <w:bookmarkEnd w:id="2322"/>
    <w:p>
      <w:pPr>
        <w:pStyle w:val="0"/>
        <w:spacing w:before="200" w:line-rule="auto"/>
        <w:ind w:firstLine="540"/>
        <w:jc w:val="both"/>
      </w:pPr>
      <w:r>
        <w:rPr>
          <w:sz w:val="20"/>
        </w:rPr>
        <w:t xml:space="preserve">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лиц, постановки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Центр занятости населения совместно со специалистами Фонда поддержки предпринимательства Югры "Мой бизнес" осуществляет сопровождение гражданина по вопросам осуществления индивидуальной предпринимательской деятельности, мерам поддержки субъектов малого и среднего предпринимательства, предоставляемых указанным фондом, в течение срока, установленного </w:t>
      </w:r>
      <w:hyperlink w:history="0" w:anchor="P232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
        <w:r>
          <w:rPr>
            <w:sz w:val="20"/>
            <w:color w:val="0000ff"/>
          </w:rPr>
          <w:t xml:space="preserve">абзацем первым</w:t>
        </w:r>
      </w:hyperlink>
      <w:r>
        <w:rPr>
          <w:sz w:val="20"/>
        </w:rPr>
        <w:t xml:space="preserve"> настоящего пункта.</w:t>
      </w:r>
    </w:p>
    <w:p>
      <w:pPr>
        <w:pStyle w:val="0"/>
        <w:jc w:val="both"/>
      </w:pPr>
      <w:r>
        <w:rPr>
          <w:sz w:val="20"/>
        </w:rPr>
        <w:t xml:space="preserve">(абзац введен </w:t>
      </w:r>
      <w:hyperlink w:history="0" r:id="rId235"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13.10.2023 N 507-п)</w:t>
      </w:r>
    </w:p>
    <w:p>
      <w:pPr>
        <w:pStyle w:val="0"/>
        <w:spacing w:before="200" w:line-rule="auto"/>
        <w:ind w:firstLine="540"/>
        <w:jc w:val="both"/>
      </w:pPr>
      <w:r>
        <w:rPr>
          <w:sz w:val="20"/>
        </w:rPr>
        <w:t xml:space="preserve">3.5. В течение установленного </w:t>
      </w:r>
      <w:hyperlink w:history="0" w:anchor="P232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
        <w:r>
          <w:rPr>
            <w:sz w:val="20"/>
            <w:color w:val="0000ff"/>
          </w:rPr>
          <w:t xml:space="preserve">пунктом 3.4</w:t>
        </w:r>
      </w:hyperlink>
      <w:r>
        <w:rPr>
          <w:sz w:val="20"/>
        </w:rPr>
        <w:t xml:space="preserve"> Порядка срока центр занятости населения осуществляет контроль исполнения гражданином указанного в </w:t>
      </w:r>
      <w:hyperlink w:history="0" w:anchor="P232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
        <w:r>
          <w:rPr>
            <w:sz w:val="20"/>
            <w:color w:val="0000ff"/>
          </w:rPr>
          <w:t xml:space="preserve">пункте 3.4</w:t>
        </w:r>
      </w:hyperlink>
      <w:r>
        <w:rPr>
          <w:sz w:val="20"/>
        </w:rPr>
        <w:t xml:space="preserve"> Порядка обязательства путем проведения выездных проверок с составлением соответствующего акта.</w:t>
      </w:r>
    </w:p>
    <w:p>
      <w:pPr>
        <w:pStyle w:val="0"/>
        <w:spacing w:before="200" w:line-rule="auto"/>
        <w:ind w:firstLine="540"/>
        <w:jc w:val="both"/>
      </w:pPr>
      <w:r>
        <w:rPr>
          <w:sz w:val="20"/>
        </w:rPr>
        <w:t xml:space="preserve">Порядок их проведения проверок, периодичность и порядок уведомления граждан об их проведении определяет центр занятости населения.</w:t>
      </w:r>
    </w:p>
    <w:p>
      <w:pPr>
        <w:pStyle w:val="0"/>
        <w:spacing w:before="200" w:line-rule="auto"/>
        <w:ind w:firstLine="540"/>
        <w:jc w:val="both"/>
      </w:pPr>
      <w:r>
        <w:rPr>
          <w:sz w:val="20"/>
        </w:rPr>
        <w:t xml:space="preserve">3.6. Центр занятости населения в течение 2 рабочих дней после истечения срока, установленного </w:t>
      </w:r>
      <w:hyperlink w:history="0" w:anchor="P232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
        <w:r>
          <w:rPr>
            <w:sz w:val="20"/>
            <w:color w:val="0000ff"/>
          </w:rPr>
          <w:t xml:space="preserve">пунктом 3.4</w:t>
        </w:r>
      </w:hyperlink>
      <w:r>
        <w:rPr>
          <w:sz w:val="20"/>
        </w:rPr>
        <w:t xml:space="preserve"> Порядка, самостоятельно:</w:t>
      </w:r>
    </w:p>
    <w:p>
      <w:pPr>
        <w:pStyle w:val="0"/>
        <w:spacing w:before="200" w:line-rule="auto"/>
        <w:ind w:firstLine="540"/>
        <w:jc w:val="both"/>
      </w:pPr>
      <w:r>
        <w:rPr>
          <w:sz w:val="20"/>
        </w:rPr>
        <w:t xml:space="preserve">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технико-экономическом обосновании (бизнес-плане));</w:t>
      </w:r>
    </w:p>
    <w:p>
      <w:pPr>
        <w:pStyle w:val="0"/>
        <w:spacing w:before="200" w:line-rule="auto"/>
        <w:ind w:firstLine="540"/>
        <w:jc w:val="both"/>
      </w:pPr>
      <w:r>
        <w:rPr>
          <w:sz w:val="20"/>
        </w:rPr>
        <w:t xml:space="preserve">осуществляет проверку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 постановку на учет в качестве налогоплательщика налога на профессиональный доход;</w:t>
      </w:r>
    </w:p>
    <w:p>
      <w:pPr>
        <w:pStyle w:val="0"/>
        <w:spacing w:before="200" w:line-rule="auto"/>
        <w:ind w:firstLine="540"/>
        <w:jc w:val="both"/>
      </w:pPr>
      <w:r>
        <w:rPr>
          <w:sz w:val="20"/>
        </w:rPr>
        <w:t xml:space="preserve">уведомляет гражданина, вставшего на учет физического лица в качестве налогоплательщика налога на профессиональный доход, о представлении в течение 3 рабочих дней справки о постановке на учет (снятии с учета) физического лица в качестве налогоплательщика налога на профессиональный доход, которую он самостоятельно формирует в мобильном приложении или в веб-кабинете "Мой налог" или на сайте Федеральной налоговой службы, подтверждающей осуществление деятельности в течение предусмотренного </w:t>
      </w:r>
      <w:hyperlink w:history="0" w:anchor="P232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
        <w:r>
          <w:rPr>
            <w:sz w:val="20"/>
            <w:color w:val="0000ff"/>
          </w:rPr>
          <w:t xml:space="preserve">пунктом 3.4</w:t>
        </w:r>
      </w:hyperlink>
      <w:r>
        <w:rPr>
          <w:sz w:val="20"/>
        </w:rPr>
        <w:t xml:space="preserve"> Порядка срока.</w:t>
      </w:r>
    </w:p>
    <w:bookmarkStart w:id="2331" w:name="P2331"/>
    <w:bookmarkEnd w:id="2331"/>
    <w:p>
      <w:pPr>
        <w:pStyle w:val="0"/>
        <w:spacing w:before="200" w:line-rule="auto"/>
        <w:ind w:firstLine="540"/>
        <w:jc w:val="both"/>
      </w:pPr>
      <w:r>
        <w:rPr>
          <w:sz w:val="20"/>
        </w:rPr>
        <w:t xml:space="preserve">3.7. Единовременная финансовая помощь должна быть использована ее получателем в течение 9 месяцев со дня перечисления.</w:t>
      </w:r>
    </w:p>
    <w:p>
      <w:pPr>
        <w:pStyle w:val="0"/>
        <w:jc w:val="both"/>
      </w:pPr>
      <w:r>
        <w:rPr>
          <w:sz w:val="20"/>
        </w:rPr>
        <w:t xml:space="preserve">(в ред. </w:t>
      </w:r>
      <w:hyperlink w:history="0" r:id="rId23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jc w:val="both"/>
      </w:pPr>
      <w:r>
        <w:rPr>
          <w:sz w:val="20"/>
        </w:rPr>
      </w:r>
    </w:p>
    <w:p>
      <w:pPr>
        <w:pStyle w:val="2"/>
        <w:outlineLvl w:val="1"/>
        <w:jc w:val="center"/>
      </w:pPr>
      <w:r>
        <w:rPr>
          <w:sz w:val="20"/>
        </w:rPr>
        <w:t xml:space="preserve">Раздел IV. УСЛОВИЯ ПРЕДОСТАВЛЕНИЯ ЕДИНОВРЕМЕННОЙ</w:t>
      </w:r>
    </w:p>
    <w:p>
      <w:pPr>
        <w:pStyle w:val="2"/>
        <w:jc w:val="center"/>
      </w:pPr>
      <w:r>
        <w:rPr>
          <w:sz w:val="20"/>
        </w:rPr>
        <w:t xml:space="preserve">ФИНАНСОВОЙ ПОМОЩИ</w:t>
      </w:r>
    </w:p>
    <w:p>
      <w:pPr>
        <w:pStyle w:val="0"/>
        <w:jc w:val="both"/>
      </w:pPr>
      <w:r>
        <w:rPr>
          <w:sz w:val="20"/>
        </w:rPr>
      </w:r>
    </w:p>
    <w:p>
      <w:pPr>
        <w:pStyle w:val="0"/>
        <w:ind w:firstLine="540"/>
        <w:jc w:val="both"/>
      </w:pPr>
      <w:r>
        <w:rPr>
          <w:sz w:val="20"/>
        </w:rPr>
        <w:t xml:space="preserve">4.1. Гражданин, изъявивший желание организовать собственное дело, проходит в центре занятости населения тестирование (анкетирование) на выявление способностей и готовности к осуществлению предпринимательской деятельности, созданию крестьянского (фермерского) хозяйства, юридического лица, осуществлению деятельности в качестве налогоплательщика налога на профессиональный доход (далее - тестирование (анкетирование)).</w:t>
      </w:r>
    </w:p>
    <w:p>
      <w:pPr>
        <w:pStyle w:val="0"/>
        <w:spacing w:before="200" w:line-rule="auto"/>
        <w:ind w:firstLine="540"/>
        <w:jc w:val="both"/>
      </w:pPr>
      <w:r>
        <w:rPr>
          <w:sz w:val="20"/>
        </w:rPr>
        <w:t xml:space="preserve">4.2. Порядок прохождения гражданином тестирования (анкетирования) определяет центр занятости населения.</w:t>
      </w:r>
    </w:p>
    <w:p>
      <w:pPr>
        <w:pStyle w:val="0"/>
        <w:spacing w:before="200" w:line-rule="auto"/>
        <w:ind w:firstLine="540"/>
        <w:jc w:val="both"/>
      </w:pPr>
      <w:r>
        <w:rPr>
          <w:sz w:val="20"/>
        </w:rPr>
        <w:t xml:space="preserve">4.3. В случае положительного результата тестирования (анкетирования) центр занятости населения оформляет ему рекомендацию по форме, установленной Департаментом.</w:t>
      </w:r>
    </w:p>
    <w:p>
      <w:pPr>
        <w:pStyle w:val="0"/>
        <w:spacing w:before="200" w:line-rule="auto"/>
        <w:ind w:firstLine="540"/>
        <w:jc w:val="both"/>
      </w:pPr>
      <w:r>
        <w:rPr>
          <w:sz w:val="20"/>
        </w:rPr>
        <w:t xml:space="preserve">В случае отрицательного результата тестирования (анкетирования) центр занятости населения направляет гражданину отказ в предоставлении рекомендации по утвержденной Департаментом форме.</w:t>
      </w:r>
    </w:p>
    <w:bookmarkStart w:id="2341" w:name="P2341"/>
    <w:bookmarkEnd w:id="2341"/>
    <w:p>
      <w:pPr>
        <w:pStyle w:val="0"/>
        <w:spacing w:before="200" w:line-rule="auto"/>
        <w:ind w:firstLine="540"/>
        <w:jc w:val="both"/>
      </w:pPr>
      <w:r>
        <w:rPr>
          <w:sz w:val="20"/>
        </w:rPr>
        <w:t xml:space="preserve">4.4. Гражданин при наличии рекомендации лично представляет в центр занятости населения:</w:t>
      </w:r>
    </w:p>
    <w:p>
      <w:pPr>
        <w:pStyle w:val="0"/>
        <w:spacing w:before="200" w:line-rule="auto"/>
        <w:ind w:firstLine="540"/>
        <w:jc w:val="both"/>
      </w:pPr>
      <w:r>
        <w:rPr>
          <w:sz w:val="20"/>
        </w:rPr>
        <w:t xml:space="preserve">4.4.1. Заявление о предоставлении единовременной финансовой помощи по форме, установленной Департаментом (далее - заявление).</w:t>
      </w:r>
    </w:p>
    <w:p>
      <w:pPr>
        <w:pStyle w:val="0"/>
        <w:spacing w:before="200" w:line-rule="auto"/>
        <w:ind w:firstLine="540"/>
        <w:jc w:val="both"/>
      </w:pPr>
      <w:r>
        <w:rPr>
          <w:sz w:val="20"/>
        </w:rPr>
        <w:t xml:space="preserve">4.4.2. Документ, удостоверяющий его личность и гражданство Российской Федерации.</w:t>
      </w:r>
    </w:p>
    <w:p>
      <w:pPr>
        <w:pStyle w:val="0"/>
        <w:spacing w:before="200" w:line-rule="auto"/>
        <w:ind w:firstLine="540"/>
        <w:jc w:val="both"/>
      </w:pPr>
      <w:r>
        <w:rPr>
          <w:sz w:val="20"/>
        </w:rPr>
        <w:t xml:space="preserve">4.4.3. Документ, подтверждающий назначение страховой пенсии по старости либо пенсии за выслугу лет, - для граждан пенсионного возраста.</w:t>
      </w:r>
    </w:p>
    <w:p>
      <w:pPr>
        <w:pStyle w:val="0"/>
        <w:spacing w:before="200" w:line-rule="auto"/>
        <w:ind w:firstLine="540"/>
        <w:jc w:val="both"/>
      </w:pPr>
      <w:r>
        <w:rPr>
          <w:sz w:val="20"/>
        </w:rPr>
        <w:t xml:space="preserve">4.4.4. Бизнес-план, одобренный уполномоченными специалистами Фонда поддержки предпринимательства Югры "Мой Бизнес".</w:t>
      </w:r>
    </w:p>
    <w:p>
      <w:pPr>
        <w:pStyle w:val="0"/>
        <w:spacing w:before="200" w:line-rule="auto"/>
        <w:ind w:firstLine="540"/>
        <w:jc w:val="both"/>
      </w:pPr>
      <w:r>
        <w:rPr>
          <w:sz w:val="20"/>
        </w:rPr>
        <w:t xml:space="preserve">Бизнес-план должен соответствовать приоритетным для муниципального образования автономного округа видам экономической деятельности, утвержденным центром занятости населения и согласованным с администрацией муниципального образования автономного округа (для граждан, регистрирующих индивидуальную предпринимательскую деятельность, юридическое лицо, крестьянское (фермерское) хозяйство).</w:t>
      </w:r>
    </w:p>
    <w:p>
      <w:pPr>
        <w:pStyle w:val="0"/>
        <w:spacing w:before="200" w:line-rule="auto"/>
        <w:ind w:firstLine="540"/>
        <w:jc w:val="both"/>
      </w:pPr>
      <w:r>
        <w:rPr>
          <w:sz w:val="20"/>
        </w:rPr>
        <w:t xml:space="preserve">Граждане, планирующие постановку на учет в качестве налогоплательщика налога на профессиональный доход, вид экономической деятельности в бизнес-плане не указывают.</w:t>
      </w:r>
    </w:p>
    <w:p>
      <w:pPr>
        <w:pStyle w:val="0"/>
        <w:spacing w:before="200" w:line-rule="auto"/>
        <w:ind w:firstLine="540"/>
        <w:jc w:val="both"/>
      </w:pPr>
      <w:r>
        <w:rPr>
          <w:sz w:val="20"/>
        </w:rPr>
        <w:t xml:space="preserve">В бизнес-план гражданин вправе вносить изменения до истечения срока, установленного </w:t>
      </w:r>
      <w:hyperlink w:history="0" w:anchor="P2331" w:tooltip="3.7. Единовременная финансовая помощь должна быть использована ее получателем в течение 9 месяцев со дня перечисления.">
        <w:r>
          <w:rPr>
            <w:sz w:val="20"/>
            <w:color w:val="0000ff"/>
          </w:rPr>
          <w:t xml:space="preserve">пунктом 3.7</w:t>
        </w:r>
      </w:hyperlink>
      <w:r>
        <w:rPr>
          <w:sz w:val="20"/>
        </w:rPr>
        <w:t xml:space="preserve"> Порядка, каждое из которых самостоятельно он направляет для одобрения в Фонд поддержки предпринимательства Югры "Мой бизнес", после чего представляет в центр занятости населения.</w:t>
      </w:r>
    </w:p>
    <w:p>
      <w:pPr>
        <w:pStyle w:val="0"/>
        <w:jc w:val="both"/>
      </w:pPr>
      <w:r>
        <w:rPr>
          <w:sz w:val="20"/>
        </w:rPr>
        <w:t xml:space="preserve">(в ред. </w:t>
      </w:r>
      <w:hyperlink w:history="0" r:id="rId237"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4.5. В заявлении гражданин подтверждает соответствие требованиям, указанным в </w:t>
      </w:r>
      <w:hyperlink w:history="0" w:anchor="P2362" w:tooltip="4.8. Гражданин на момент принятия решения о предоставлении (об отказе в предоставлении) единовременной финансовой помощи должен соответствовать требованиям:">
        <w:r>
          <w:rPr>
            <w:sz w:val="20"/>
            <w:color w:val="0000ff"/>
          </w:rPr>
          <w:t xml:space="preserve">пункте 4.8</w:t>
        </w:r>
      </w:hyperlink>
      <w:r>
        <w:rPr>
          <w:sz w:val="20"/>
        </w:rPr>
        <w:t xml:space="preserve"> Порядка, и дает согласие на проверку центром занятости населения достоверности указанных сведений.</w:t>
      </w:r>
    </w:p>
    <w:p>
      <w:pPr>
        <w:pStyle w:val="0"/>
        <w:spacing w:before="200" w:line-rule="auto"/>
        <w:ind w:firstLine="540"/>
        <w:jc w:val="both"/>
      </w:pPr>
      <w:r>
        <w:rPr>
          <w:sz w:val="20"/>
        </w:rPr>
        <w:t xml:space="preserve">4.6. Центр занятости населения регистрирует заявление в журнале регистрации в день его поступления.</w:t>
      </w:r>
    </w:p>
    <w:p>
      <w:pPr>
        <w:pStyle w:val="0"/>
        <w:spacing w:before="200" w:line-rule="auto"/>
        <w:ind w:firstLine="540"/>
        <w:jc w:val="both"/>
      </w:pPr>
      <w:r>
        <w:rPr>
          <w:sz w:val="20"/>
        </w:rPr>
        <w:t xml:space="preserve">4.7. Центр занятости населения в течение 5 рабочих дней со дня регистрации заявления осуществляет проверку гражданина на соответствие установленным </w:t>
      </w:r>
      <w:hyperlink w:history="0" w:anchor="P2362" w:tooltip="4.8. Гражданин на момент принятия решения о предоставлении (об отказе в предоставлении) единовременной финансовой помощи должен соответствовать требованиям:">
        <w:r>
          <w:rPr>
            <w:sz w:val="20"/>
            <w:color w:val="0000ff"/>
          </w:rPr>
          <w:t xml:space="preserve">пунктом 4.8</w:t>
        </w:r>
      </w:hyperlink>
      <w:r>
        <w:rPr>
          <w:sz w:val="20"/>
        </w:rPr>
        <w:t xml:space="preserve"> Порядка требованиям.</w:t>
      </w:r>
    </w:p>
    <w:p>
      <w:pPr>
        <w:pStyle w:val="0"/>
        <w:jc w:val="both"/>
      </w:pPr>
      <w:r>
        <w:rPr>
          <w:sz w:val="20"/>
        </w:rPr>
        <w:t xml:space="preserve">(в ред. </w:t>
      </w:r>
      <w:hyperlink w:history="0" r:id="rId238"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13.10.2023 N 507-п)</w:t>
      </w:r>
    </w:p>
    <w:p>
      <w:pPr>
        <w:pStyle w:val="0"/>
        <w:spacing w:before="200" w:line-rule="auto"/>
        <w:ind w:firstLine="540"/>
        <w:jc w:val="both"/>
      </w:pPr>
      <w:r>
        <w:rPr>
          <w:sz w:val="20"/>
        </w:rPr>
        <w:t xml:space="preserve">4.7.1. Соответствие гражданина требованию, установленному </w:t>
      </w:r>
      <w:hyperlink w:history="0" w:anchor="P2363" w:tooltip="не получать единовременную финансовую помощь за счет средств бюджета автономного округа, федерального бюджета в 2009 - 2021 годах и в период реализации государственной программы;">
        <w:r>
          <w:rPr>
            <w:sz w:val="20"/>
            <w:color w:val="0000ff"/>
          </w:rPr>
          <w:t xml:space="preserve">абзацем вторым пункта 4.8</w:t>
        </w:r>
      </w:hyperlink>
      <w:r>
        <w:rPr>
          <w:sz w:val="20"/>
        </w:rPr>
        <w:t xml:space="preserve"> Порядка, центр занятости населения проверяет на основании имеющихся в его ведении сведений о получателях единовременной финансовой помощи:</w:t>
      </w:r>
    </w:p>
    <w:p>
      <w:pPr>
        <w:pStyle w:val="0"/>
        <w:spacing w:before="200" w:line-rule="auto"/>
        <w:ind w:firstLine="540"/>
        <w:jc w:val="both"/>
      </w:pPr>
      <w:r>
        <w:rPr>
          <w:sz w:val="20"/>
        </w:rPr>
        <w:t xml:space="preserve">4.7.2. Требованиям, установленным </w:t>
      </w:r>
      <w:hyperlink w:history="0" w:anchor="P2364" w:tooltip="не являться индивидуальным предпринимателем, главой крестьянского (фермерского) хозяйства в течение 6 календарных месяцев до дня представления в центр занятости населения заявления на получение единовременной финансовой помощи;">
        <w:r>
          <w:rPr>
            <w:sz w:val="20"/>
            <w:color w:val="0000ff"/>
          </w:rPr>
          <w:t xml:space="preserve">абзацами третьим</w:t>
        </w:r>
      </w:hyperlink>
      <w:r>
        <w:rPr>
          <w:sz w:val="20"/>
        </w:rPr>
        <w:t xml:space="preserve">, </w:t>
      </w:r>
      <w:hyperlink w:history="0" w:anchor="P2365" w:tooltip="не являться учредителем юридического лица в течение 6 календарных месяцев до дня представления гражданином в центр занятости населения заявления на получение единовременной финансовой помощи,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
        <w:r>
          <w:rPr>
            <w:sz w:val="20"/>
            <w:color w:val="0000ff"/>
          </w:rPr>
          <w:t xml:space="preserve">четвертым пункта 4.8</w:t>
        </w:r>
      </w:hyperlink>
      <w:r>
        <w:rPr>
          <w:sz w:val="20"/>
        </w:rPr>
        <w:t xml:space="preserve"> Порядка, - путем запроса в порядке межведомственного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выписки из Единого государственного реестра юридических лиц (в Федеральной налоговой службе);</w:t>
      </w:r>
    </w:p>
    <w:p>
      <w:pPr>
        <w:pStyle w:val="0"/>
        <w:spacing w:before="200" w:line-rule="auto"/>
        <w:ind w:firstLine="540"/>
        <w:jc w:val="both"/>
      </w:pPr>
      <w:r>
        <w:rPr>
          <w:sz w:val="20"/>
        </w:rPr>
        <w:t xml:space="preserve">выписки из Единого государственного реестра индивидуальных предпринимателей (в Федеральной налоговой службе).</w:t>
      </w:r>
    </w:p>
    <w:p>
      <w:pPr>
        <w:pStyle w:val="0"/>
        <w:spacing w:before="200" w:line-rule="auto"/>
        <w:ind w:firstLine="540"/>
        <w:jc w:val="both"/>
      </w:pPr>
      <w:r>
        <w:rPr>
          <w:sz w:val="20"/>
        </w:rPr>
        <w:t xml:space="preserve">4.7.3. Требованию, установленному </w:t>
      </w:r>
      <w:hyperlink w:history="0" w:anchor="P2366" w:tooltip="не являться налогоплательщиком налога на профессиональный доход;">
        <w:r>
          <w:rPr>
            <w:sz w:val="20"/>
            <w:color w:val="0000ff"/>
          </w:rPr>
          <w:t xml:space="preserve">абзацем пятым пункта 4.8</w:t>
        </w:r>
      </w:hyperlink>
      <w:r>
        <w:rPr>
          <w:sz w:val="20"/>
        </w:rPr>
        <w:t xml:space="preserve"> Порядка, -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w:t>
      </w:r>
    </w:p>
    <w:p>
      <w:pPr>
        <w:pStyle w:val="0"/>
        <w:spacing w:before="200" w:line-rule="auto"/>
        <w:ind w:firstLine="540"/>
        <w:jc w:val="both"/>
      </w:pPr>
      <w:r>
        <w:rPr>
          <w:sz w:val="20"/>
        </w:rPr>
        <w:t xml:space="preserve">4.7.4. Требованию, установленному </w:t>
      </w:r>
      <w:hyperlink w:history="0" w:anchor="P2367" w:tooltip="не иметь обязательств перед третьими лицами на основании информации о возбуждении исполнительного производства по вступившим в законную силу решениям судов;">
        <w:r>
          <w:rPr>
            <w:sz w:val="20"/>
            <w:color w:val="0000ff"/>
          </w:rPr>
          <w:t xml:space="preserve">абзацем шестым пункта 4.8</w:t>
        </w:r>
      </w:hyperlink>
      <w:r>
        <w:rPr>
          <w:sz w:val="20"/>
        </w:rPr>
        <w:t xml:space="preserve"> Порядка, - через электронный сервис Федеральной службы судебных приставов "Банк данных исполнительных производств".</w:t>
      </w:r>
    </w:p>
    <w:p>
      <w:pPr>
        <w:pStyle w:val="0"/>
        <w:spacing w:before="200" w:line-rule="auto"/>
        <w:ind w:firstLine="540"/>
        <w:jc w:val="both"/>
      </w:pPr>
      <w:r>
        <w:rPr>
          <w:sz w:val="20"/>
        </w:rPr>
        <w:t xml:space="preserve">4.7.5. Требованию, установленному </w:t>
      </w:r>
      <w:hyperlink w:history="0" w:anchor="P2368" w:tooltip="отсутствие действующего социального контракта для реализации мероприятия программы по осуществлению индивидуальной предпринимательской деятельности и постановке на учет физического лица в качестве налогоплательщика налога на профессиональный доход;">
        <w:r>
          <w:rPr>
            <w:sz w:val="20"/>
            <w:color w:val="0000ff"/>
          </w:rPr>
          <w:t xml:space="preserve">абзацем седьмым пункта 4.8</w:t>
        </w:r>
      </w:hyperlink>
      <w:r>
        <w:rPr>
          <w:sz w:val="20"/>
        </w:rPr>
        <w:t xml:space="preserve"> Порядка, - на основании представленного гражданином технико-экономического обоснования избранного вида деятельности (бизнес-плана).</w:t>
      </w:r>
    </w:p>
    <w:p>
      <w:pPr>
        <w:pStyle w:val="0"/>
        <w:spacing w:before="200" w:line-rule="auto"/>
        <w:ind w:firstLine="540"/>
        <w:jc w:val="both"/>
      </w:pPr>
      <w:r>
        <w:rPr>
          <w:sz w:val="20"/>
        </w:rPr>
        <w:t xml:space="preserve">4.7.6. Требованию, установленному </w:t>
      </w:r>
      <w:hyperlink w:history="0" w:anchor="P2370" w:tooltip="осуществлять деятельность, указанную в бизнес-плане (в том числе установление оборудования), на территории автономного округа.">
        <w:r>
          <w:rPr>
            <w:sz w:val="20"/>
            <w:color w:val="0000ff"/>
          </w:rPr>
          <w:t xml:space="preserve">абзацем восьмым пункта 4.8</w:t>
        </w:r>
      </w:hyperlink>
      <w:r>
        <w:rPr>
          <w:sz w:val="20"/>
        </w:rPr>
        <w:t xml:space="preserve"> Порядка, - на основании сведений органов социальной защиты населения, представляемых центрам занятости населения на основании соответствующих запросов.</w:t>
      </w:r>
    </w:p>
    <w:bookmarkStart w:id="2362" w:name="P2362"/>
    <w:bookmarkEnd w:id="2362"/>
    <w:p>
      <w:pPr>
        <w:pStyle w:val="0"/>
        <w:spacing w:before="200" w:line-rule="auto"/>
        <w:ind w:firstLine="540"/>
        <w:jc w:val="both"/>
      </w:pPr>
      <w:r>
        <w:rPr>
          <w:sz w:val="20"/>
        </w:rPr>
        <w:t xml:space="preserve">4.8. Гражданин на момент принятия решения о предоставлении (об отказе в предоставлении) единовременной финансовой помощи должен соответствовать требованиям:</w:t>
      </w:r>
    </w:p>
    <w:bookmarkStart w:id="2363" w:name="P2363"/>
    <w:bookmarkEnd w:id="2363"/>
    <w:p>
      <w:pPr>
        <w:pStyle w:val="0"/>
        <w:spacing w:before="200" w:line-rule="auto"/>
        <w:ind w:firstLine="540"/>
        <w:jc w:val="both"/>
      </w:pPr>
      <w:r>
        <w:rPr>
          <w:sz w:val="20"/>
        </w:rPr>
        <w:t xml:space="preserve">не получать единовременную финансовую помощь за счет средств бюджета автономного округа, федерального бюджета в 2009 - 2021 годах и в период реализации государственной программы;</w:t>
      </w:r>
    </w:p>
    <w:bookmarkStart w:id="2364" w:name="P2364"/>
    <w:bookmarkEnd w:id="2364"/>
    <w:p>
      <w:pPr>
        <w:pStyle w:val="0"/>
        <w:spacing w:before="200" w:line-rule="auto"/>
        <w:ind w:firstLine="540"/>
        <w:jc w:val="both"/>
      </w:pPr>
      <w:r>
        <w:rPr>
          <w:sz w:val="20"/>
        </w:rPr>
        <w:t xml:space="preserve">не являться индивидуальным предпринимателем, главой крестьянского (фермерского) хозяйства в течение 6 календарных месяцев до дня представления в центр занятости населения заявления на получение единовременной финансовой помощи;</w:t>
      </w:r>
    </w:p>
    <w:bookmarkStart w:id="2365" w:name="P2365"/>
    <w:bookmarkEnd w:id="2365"/>
    <w:p>
      <w:pPr>
        <w:pStyle w:val="0"/>
        <w:spacing w:before="200" w:line-rule="auto"/>
        <w:ind w:firstLine="540"/>
        <w:jc w:val="both"/>
      </w:pPr>
      <w:r>
        <w:rPr>
          <w:sz w:val="20"/>
        </w:rPr>
        <w:t xml:space="preserve">не являться учредителем юридического лица в течение 6 календарных месяцев до дня представления гражданином в центр занятости населения заявления на получение единовременной финансовой помощи,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bookmarkStart w:id="2366" w:name="P2366"/>
    <w:bookmarkEnd w:id="2366"/>
    <w:p>
      <w:pPr>
        <w:pStyle w:val="0"/>
        <w:spacing w:before="200" w:line-rule="auto"/>
        <w:ind w:firstLine="540"/>
        <w:jc w:val="both"/>
      </w:pPr>
      <w:r>
        <w:rPr>
          <w:sz w:val="20"/>
        </w:rPr>
        <w:t xml:space="preserve">не являться налогоплательщиком налога на профессиональный доход;</w:t>
      </w:r>
    </w:p>
    <w:bookmarkStart w:id="2367" w:name="P2367"/>
    <w:bookmarkEnd w:id="2367"/>
    <w:p>
      <w:pPr>
        <w:pStyle w:val="0"/>
        <w:spacing w:before="200" w:line-rule="auto"/>
        <w:ind w:firstLine="540"/>
        <w:jc w:val="both"/>
      </w:pPr>
      <w:r>
        <w:rPr>
          <w:sz w:val="20"/>
        </w:rPr>
        <w:t xml:space="preserve">не иметь обязательств перед третьими лицами на основании информации о возбуждении исполнительного производства по вступившим в законную силу решениям судов;</w:t>
      </w:r>
    </w:p>
    <w:bookmarkStart w:id="2368" w:name="P2368"/>
    <w:bookmarkEnd w:id="2368"/>
    <w:p>
      <w:pPr>
        <w:pStyle w:val="0"/>
        <w:spacing w:before="200" w:line-rule="auto"/>
        <w:ind w:firstLine="540"/>
        <w:jc w:val="both"/>
      </w:pPr>
      <w:r>
        <w:rPr>
          <w:sz w:val="20"/>
        </w:rPr>
        <w:t xml:space="preserve">отсутствие действующего социального контракта для реализации мероприятия программы по осуществлению индивидуальной предпринимательской деятельности и постановке на учет физического лица в качестве налогоплательщика налога на профессиональный доход;</w:t>
      </w:r>
    </w:p>
    <w:p>
      <w:pPr>
        <w:pStyle w:val="0"/>
        <w:jc w:val="both"/>
      </w:pPr>
      <w:r>
        <w:rPr>
          <w:sz w:val="20"/>
        </w:rPr>
        <w:t xml:space="preserve">(в ред. </w:t>
      </w:r>
      <w:hyperlink w:history="0" r:id="rId23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bookmarkStart w:id="2370" w:name="P2370"/>
    <w:bookmarkEnd w:id="2370"/>
    <w:p>
      <w:pPr>
        <w:pStyle w:val="0"/>
        <w:spacing w:before="200" w:line-rule="auto"/>
        <w:ind w:firstLine="540"/>
        <w:jc w:val="both"/>
      </w:pPr>
      <w:r>
        <w:rPr>
          <w:sz w:val="20"/>
        </w:rPr>
        <w:t xml:space="preserve">осуществлять деятельность, указанную в бизнес-плане (в том числе установление оборудования), на территории автономного округа.</w:t>
      </w:r>
    </w:p>
    <w:bookmarkStart w:id="2371" w:name="P2371"/>
    <w:bookmarkEnd w:id="2371"/>
    <w:p>
      <w:pPr>
        <w:pStyle w:val="0"/>
        <w:spacing w:before="200" w:line-rule="auto"/>
        <w:ind w:firstLine="540"/>
        <w:jc w:val="both"/>
      </w:pPr>
      <w:r>
        <w:rPr>
          <w:sz w:val="20"/>
        </w:rPr>
        <w:t xml:space="preserve">4.9. В течение 5 рабочих дней после окончания проверки гражданина на соответствие установленным </w:t>
      </w:r>
      <w:hyperlink w:history="0" w:anchor="P2362" w:tooltip="4.8. Гражданин на момент принятия решения о предоставлении (об отказе в предоставлении) единовременной финансовой помощи должен соответствовать требованиям:">
        <w:r>
          <w:rPr>
            <w:sz w:val="20"/>
            <w:color w:val="0000ff"/>
          </w:rPr>
          <w:t xml:space="preserve">пунктом 4.8</w:t>
        </w:r>
      </w:hyperlink>
      <w:r>
        <w:rPr>
          <w:sz w:val="20"/>
        </w:rPr>
        <w:t xml:space="preserve"> Порядка требованиям центр занятости населения принимает решение о предоставлении или об отказе в предоставлении единовременной финансовой помощи (далее - решение о предоставлении (об отказе в предоставлении) единовременной финансовой помощи) по утвержденной Департаментом форме.</w:t>
      </w:r>
    </w:p>
    <w:p>
      <w:pPr>
        <w:pStyle w:val="0"/>
        <w:jc w:val="both"/>
      </w:pPr>
      <w:r>
        <w:rPr>
          <w:sz w:val="20"/>
        </w:rPr>
        <w:t xml:space="preserve">(в ред. </w:t>
      </w:r>
      <w:hyperlink w:history="0" r:id="rId240"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13.10.2023 N 507-п)</w:t>
      </w:r>
    </w:p>
    <w:p>
      <w:pPr>
        <w:pStyle w:val="0"/>
        <w:spacing w:before="200" w:line-rule="auto"/>
        <w:ind w:firstLine="540"/>
        <w:jc w:val="both"/>
      </w:pPr>
      <w:r>
        <w:rPr>
          <w:sz w:val="20"/>
        </w:rPr>
        <w:t xml:space="preserve">4.10. Основаниями для отказа гражданину в предоставлении единовременной финансовой помощи являются:</w:t>
      </w:r>
    </w:p>
    <w:p>
      <w:pPr>
        <w:pStyle w:val="0"/>
        <w:spacing w:before="200" w:line-rule="auto"/>
        <w:ind w:firstLine="540"/>
        <w:jc w:val="both"/>
      </w:pPr>
      <w:r>
        <w:rPr>
          <w:sz w:val="20"/>
        </w:rPr>
        <w:t xml:space="preserve">представление в центр занятости населения недостоверных и (или) не соответствующих требованиям Порядка сведений и документов, предусмотренных </w:t>
      </w:r>
      <w:hyperlink w:history="0" w:anchor="P2341" w:tooltip="4.4. Гражданин при наличии рекомендации лично представляет в центр занятости населения:">
        <w:r>
          <w:rPr>
            <w:sz w:val="20"/>
            <w:color w:val="0000ff"/>
          </w:rPr>
          <w:t xml:space="preserve">пунктом 4.4</w:t>
        </w:r>
      </w:hyperlink>
      <w:r>
        <w:rPr>
          <w:sz w:val="20"/>
        </w:rPr>
        <w:t xml:space="preserve"> Порядка, и (или) их непредставление (представление не в полном объеме);</w:t>
      </w:r>
    </w:p>
    <w:p>
      <w:pPr>
        <w:pStyle w:val="0"/>
        <w:spacing w:before="200" w:line-rule="auto"/>
        <w:ind w:firstLine="540"/>
        <w:jc w:val="both"/>
      </w:pPr>
      <w:r>
        <w:rPr>
          <w:sz w:val="20"/>
        </w:rPr>
        <w:t xml:space="preserve">несоответствие гражданина требованиям, указанным в </w:t>
      </w:r>
      <w:hyperlink w:history="0" w:anchor="P2362" w:tooltip="4.8. Гражданин на момент принятия решения о предоставлении (об отказе в предоставлении) единовременной финансовой помощи должен соответствовать требованиям:">
        <w:r>
          <w:rPr>
            <w:sz w:val="20"/>
            <w:color w:val="0000ff"/>
          </w:rPr>
          <w:t xml:space="preserve">пункте 4.8</w:t>
        </w:r>
      </w:hyperlink>
      <w:r>
        <w:rPr>
          <w:sz w:val="20"/>
        </w:rPr>
        <w:t xml:space="preserve"> Порядка.</w:t>
      </w:r>
    </w:p>
    <w:p>
      <w:pPr>
        <w:pStyle w:val="0"/>
        <w:spacing w:before="200" w:line-rule="auto"/>
        <w:ind w:firstLine="540"/>
        <w:jc w:val="both"/>
      </w:pPr>
      <w:r>
        <w:rPr>
          <w:sz w:val="20"/>
        </w:rPr>
        <w:t xml:space="preserve">4.11. В течение 2 рабочих дней со дня принятия решения, указанного в </w:t>
      </w:r>
      <w:hyperlink w:history="0" w:anchor="P2371" w:tooltip="4.9. В течение 5 рабочих дней после окончания проверки гражданина на соответствие установленным пунктом 4.8 Порядка требованиям центр занятости населения принимает решение о предоставлении или об отказе в предоставлении единовременной финансовой помощи (далее - решение о предоставлении (об отказе в предоставлении) единовременной финансовой помощи) по утвержденной Департаментом форме.">
        <w:r>
          <w:rPr>
            <w:sz w:val="20"/>
            <w:color w:val="0000ff"/>
          </w:rPr>
          <w:t xml:space="preserve">пункте 4.9</w:t>
        </w:r>
      </w:hyperlink>
      <w:r>
        <w:rPr>
          <w:sz w:val="20"/>
        </w:rPr>
        <w:t xml:space="preserve"> Порядка, центр занятости населения направляет гражданину соответствующее уведомление, содержащее в том числе информацию об услугах и мерах поддержки, предоставляемых организациями инфраструктуры поддержки субъектов малого и среднего предпринимательства с целью получения гражданином навыков предпринимательской деятельности, консультационных услуг по вопросам организации собственного дела, финансового планирования, правового обеспечения, информационного сопровождения и возможности получения кредитных и иных финансовых ресурсов, и проект договора о предоставлении из бюджета автономного округа единовременной финансовой помощи (далее - договор) с указанием срока представления в центр занятости населения подписанного договора.</w:t>
      </w:r>
    </w:p>
    <w:p>
      <w:pPr>
        <w:pStyle w:val="0"/>
        <w:jc w:val="both"/>
      </w:pPr>
      <w:r>
        <w:rPr>
          <w:sz w:val="20"/>
        </w:rPr>
        <w:t xml:space="preserve">(в ред. </w:t>
      </w:r>
      <w:hyperlink w:history="0" r:id="rId241" w:tooltip="Постановление Правительства ХМАО - Югры от 13.10.2023 N 50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13.10.2023 N 507-п)</w:t>
      </w:r>
    </w:p>
    <w:p>
      <w:pPr>
        <w:pStyle w:val="0"/>
        <w:spacing w:before="200" w:line-rule="auto"/>
        <w:ind w:firstLine="540"/>
        <w:jc w:val="both"/>
      </w:pPr>
      <w:r>
        <w:rPr>
          <w:sz w:val="20"/>
        </w:rPr>
        <w:t xml:space="preserve">4.11.1. Подписанный проект договора направляет гражданин в центр занятости населения не позднее 5 календарных дней со дня его получения (в случае почтового отправления днем получения считается дата, указанная на штампе почтового отделения по месту нахождения гражданина).</w:t>
      </w:r>
    </w:p>
    <w:p>
      <w:pPr>
        <w:pStyle w:val="0"/>
        <w:jc w:val="both"/>
      </w:pPr>
      <w:r>
        <w:rPr>
          <w:sz w:val="20"/>
        </w:rPr>
        <w:t xml:space="preserve">(в ред. </w:t>
      </w:r>
      <w:hyperlink w:history="0" r:id="rId242"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4.11.2. В случае непредставления в установленные сроки подписанного договора гражданин считается отказавшимся от получения единовременной финансовой помощи, что является основанием для ее неперечисления гражданину.</w:t>
      </w:r>
    </w:p>
    <w:p>
      <w:pPr>
        <w:pStyle w:val="0"/>
        <w:spacing w:before="200" w:line-rule="auto"/>
        <w:ind w:firstLine="540"/>
        <w:jc w:val="both"/>
      </w:pPr>
      <w:r>
        <w:rPr>
          <w:sz w:val="20"/>
        </w:rPr>
        <w:t xml:space="preserve">4.12. Форму договора утверждает Департамент.</w:t>
      </w:r>
    </w:p>
    <w:p>
      <w:pPr>
        <w:pStyle w:val="0"/>
        <w:spacing w:before="200" w:line-rule="auto"/>
        <w:ind w:firstLine="540"/>
        <w:jc w:val="both"/>
      </w:pPr>
      <w:r>
        <w:rPr>
          <w:sz w:val="20"/>
        </w:rPr>
        <w:t xml:space="preserve">Обязательным условием договора является согласие гражданина на осуществление Департаментом, центром занятости населения и органом государственного финансового контроля автономного округа проверки соблюдения условий, целей и порядка предоставления единовременной финансовой помощи.</w:t>
      </w:r>
    </w:p>
    <w:p>
      <w:pPr>
        <w:pStyle w:val="0"/>
        <w:spacing w:before="200" w:line-rule="auto"/>
        <w:ind w:firstLine="540"/>
        <w:jc w:val="both"/>
      </w:pPr>
      <w:r>
        <w:rPr>
          <w:sz w:val="20"/>
        </w:rPr>
        <w:t xml:space="preserve">В договоре устанавливается порядок проверки гражданина на соответствие установленному </w:t>
      </w:r>
      <w:hyperlink w:history="0" w:anchor="P2322" w:tooltip="3.4. Гражданин, получивший единовременную финансовую помощь, обязан заниматься в автономном округе предпринимательской деятельностью, возглавлять крестьянское (фермерское) хозяйство, осуществлять деятельность в качестве налогоплательщика налога на профессиональный доход, являться учредителем (одним из учредителей) зарегистрированного юридического лица не менее 12 месяцев со дня внесения записи в Единый государственный реестр индивидуальных предпринимателей либо Единый государственный реестр юридических л...">
        <w:r>
          <w:rPr>
            <w:sz w:val="20"/>
            <w:color w:val="0000ff"/>
          </w:rPr>
          <w:t xml:space="preserve">пунктом 3.4</w:t>
        </w:r>
      </w:hyperlink>
      <w:r>
        <w:rPr>
          <w:sz w:val="20"/>
        </w:rPr>
        <w:t xml:space="preserve"> Порядка условию.</w:t>
      </w:r>
    </w:p>
    <w:p>
      <w:pPr>
        <w:pStyle w:val="0"/>
        <w:spacing w:before="200" w:line-rule="auto"/>
        <w:ind w:firstLine="540"/>
        <w:jc w:val="both"/>
      </w:pPr>
      <w:r>
        <w:rPr>
          <w:sz w:val="20"/>
        </w:rPr>
        <w:t xml:space="preserve">4.13. Предоставление единовременной финансовой помощи осуществляется на основании заключенного между центром занятости населения и гражданином договора после внесения записи в Единый государственный реестр юридических лиц или Единый государственный реестр индивидуальных предпринимателей, постановки на учет в качестве налогоплательщика налога на профессиональный доход.</w:t>
      </w:r>
    </w:p>
    <w:bookmarkStart w:id="2385" w:name="P2385"/>
    <w:bookmarkEnd w:id="2385"/>
    <w:p>
      <w:pPr>
        <w:pStyle w:val="0"/>
        <w:spacing w:before="200" w:line-rule="auto"/>
        <w:ind w:firstLine="540"/>
        <w:jc w:val="both"/>
      </w:pPr>
      <w:r>
        <w:rPr>
          <w:sz w:val="20"/>
        </w:rPr>
        <w:t xml:space="preserve">4.14. Центр занятости населения после истечения срока организации гражданином собственного дела, установленного договором, самостоятельно:</w:t>
      </w:r>
    </w:p>
    <w:p>
      <w:pPr>
        <w:pStyle w:val="0"/>
        <w:spacing w:before="200" w:line-rule="auto"/>
        <w:ind w:firstLine="540"/>
        <w:jc w:val="both"/>
      </w:pPr>
      <w:r>
        <w:rPr>
          <w:sz w:val="20"/>
        </w:rPr>
        <w:t xml:space="preserve">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(основной вид деятельности в выписке должен совпадать с видом деятельности в технико-экономическом обосновании (бизнес-плане));</w:t>
      </w:r>
    </w:p>
    <w:p>
      <w:pPr>
        <w:pStyle w:val="0"/>
        <w:spacing w:before="200" w:line-rule="auto"/>
        <w:ind w:firstLine="540"/>
        <w:jc w:val="both"/>
      </w:pPr>
      <w:r>
        <w:rPr>
          <w:sz w:val="20"/>
        </w:rPr>
        <w:t xml:space="preserve">осуществляет проверку в программном комплексе "Катарсис" через API публичного сервиса ФНС России "Проверка статуса налогоплательщика налога на профессиональный доход (самозанятого)" либо на сайте Федеральной налоговой службы с помощью сервиса "Проверка статуса налогоплательщика налога на профессиональный доход (самозанятого)" постановку на учет в качестве налогоплательщика налога на профессиональный доход.</w:t>
      </w:r>
    </w:p>
    <w:p>
      <w:pPr>
        <w:pStyle w:val="0"/>
        <w:spacing w:before="200" w:line-rule="auto"/>
        <w:ind w:firstLine="540"/>
        <w:jc w:val="both"/>
      </w:pPr>
      <w:r>
        <w:rPr>
          <w:sz w:val="20"/>
        </w:rPr>
        <w:t xml:space="preserve">Гражданин может самостоятельно представить выписку из Единого государственного реестра индивидуальных предпринимателей или из Единого государственного реестра юридических лиц либо справку о постановке на учет (снятии с учета) физического лица в качестве налогоплательщика налога на профессиональный доход, которую гражданин самостоятельно формирует в мобильном приложении или в веб-кабинете "Мой налог", или на сайте Федеральной налоговой службы.</w:t>
      </w:r>
    </w:p>
    <w:p>
      <w:pPr>
        <w:pStyle w:val="0"/>
        <w:spacing w:before="200" w:line-rule="auto"/>
        <w:ind w:firstLine="540"/>
        <w:jc w:val="both"/>
      </w:pPr>
      <w:r>
        <w:rPr>
          <w:sz w:val="20"/>
        </w:rPr>
        <w:t xml:space="preserve">4.15. Перечисление единовременной финансовой помощи осуществляет центр занятости населения на основании своего приказа в течение 10 рабочих дней с даты получения информации, содержащейся в </w:t>
      </w:r>
      <w:hyperlink w:history="0" w:anchor="P2385" w:tooltip="4.14. Центр занятости населения после истечения срока организации гражданином собственного дела, установленного договором, самостоятельно:">
        <w:r>
          <w:rPr>
            <w:sz w:val="20"/>
            <w:color w:val="0000ff"/>
          </w:rPr>
          <w:t xml:space="preserve">пункте 4.14</w:t>
        </w:r>
      </w:hyperlink>
      <w:r>
        <w:rPr>
          <w:sz w:val="20"/>
        </w:rPr>
        <w:t xml:space="preserve"> Порядка, на лицевой счет гражданина, приведенный в договоре, отдельным платежным поручением с указанием целевого назначения (направления) расходования бюджетных средств.</w:t>
      </w:r>
    </w:p>
    <w:p>
      <w:pPr>
        <w:pStyle w:val="0"/>
        <w:spacing w:before="200" w:line-rule="auto"/>
        <w:ind w:firstLine="540"/>
        <w:jc w:val="both"/>
      </w:pPr>
      <w:r>
        <w:rPr>
          <w:sz w:val="20"/>
        </w:rPr>
        <w:t xml:space="preserve">4.16. Расходы на оплату банковских услуг, связанных с перечислением единовременной финансовой помощи, осуществляются за счет средств, выделенных на мероприятие.</w:t>
      </w:r>
    </w:p>
    <w:bookmarkStart w:id="2391" w:name="P2391"/>
    <w:bookmarkEnd w:id="2391"/>
    <w:p>
      <w:pPr>
        <w:pStyle w:val="0"/>
        <w:spacing w:before="200" w:line-rule="auto"/>
        <w:ind w:firstLine="540"/>
        <w:jc w:val="both"/>
      </w:pPr>
      <w:r>
        <w:rPr>
          <w:sz w:val="20"/>
        </w:rPr>
        <w:t xml:space="preserve">4.17. Целевое использование полученной единовременной финансовой помощи гражданин подтверждает представлением не позднее 5 рабочих дней по истечении 9 месяцев со дня ее перечисления в центр занятости населения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w:t>
      </w:r>
    </w:p>
    <w:p>
      <w:pPr>
        <w:pStyle w:val="0"/>
        <w:jc w:val="both"/>
      </w:pPr>
      <w:r>
        <w:rPr>
          <w:sz w:val="20"/>
        </w:rPr>
        <w:t xml:space="preserve">(в ред. </w:t>
      </w:r>
      <w:hyperlink w:history="0" r:id="rId243"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Порядок продления срока представления копий отчетных документов, подтверждающих целевое использование полученной единовременной финансовой помощи, определяется договором.</w:t>
      </w:r>
    </w:p>
    <w:p>
      <w:pPr>
        <w:pStyle w:val="0"/>
        <w:spacing w:before="200" w:line-rule="auto"/>
        <w:ind w:firstLine="540"/>
        <w:jc w:val="both"/>
      </w:pPr>
      <w:r>
        <w:rPr>
          <w:sz w:val="20"/>
        </w:rPr>
        <w:t xml:space="preserve">4.18. Гражданин на момент перечисления единовременной финансовой помощи вправе отказаться от ее получения на основании личного письменного заявления.</w:t>
      </w:r>
    </w:p>
    <w:p>
      <w:pPr>
        <w:pStyle w:val="0"/>
        <w:jc w:val="both"/>
      </w:pPr>
      <w:r>
        <w:rPr>
          <w:sz w:val="20"/>
        </w:rPr>
      </w:r>
    </w:p>
    <w:p>
      <w:pPr>
        <w:pStyle w:val="2"/>
        <w:outlineLvl w:val="1"/>
        <w:jc w:val="center"/>
      </w:pPr>
      <w:r>
        <w:rPr>
          <w:sz w:val="20"/>
        </w:rPr>
        <w:t xml:space="preserve">Раздел V. ТРЕБОВАНИЯ ОБ ОСУЩЕСТВЛЕНИИ КОНТРОЛЯ СОБЛЮДЕНИЯ</w:t>
      </w:r>
    </w:p>
    <w:p>
      <w:pPr>
        <w:pStyle w:val="2"/>
        <w:jc w:val="center"/>
      </w:pPr>
      <w:r>
        <w:rPr>
          <w:sz w:val="20"/>
        </w:rPr>
        <w:t xml:space="preserve">УСЛОВИЙ, ЦЕЛЕЙ И ПОРЯДКА ПРЕДОСТАВЛЕНИЯ ЕДИНОВРЕМЕННОЙ</w:t>
      </w:r>
    </w:p>
    <w:p>
      <w:pPr>
        <w:pStyle w:val="2"/>
        <w:jc w:val="center"/>
      </w:pPr>
      <w:r>
        <w:rPr>
          <w:sz w:val="20"/>
        </w:rPr>
        <w:t xml:space="preserve">ФИНАНСОВОЙ ПОМОЩИ И ОТВЕТСТВЕННОСТИ ЗА ИХ НАРУШЕНИЕ</w:t>
      </w:r>
    </w:p>
    <w:p>
      <w:pPr>
        <w:pStyle w:val="0"/>
        <w:jc w:val="both"/>
      </w:pPr>
      <w:r>
        <w:rPr>
          <w:sz w:val="20"/>
        </w:rPr>
      </w:r>
    </w:p>
    <w:p>
      <w:pPr>
        <w:pStyle w:val="0"/>
        <w:ind w:firstLine="540"/>
        <w:jc w:val="both"/>
      </w:pPr>
      <w:r>
        <w:rPr>
          <w:sz w:val="20"/>
        </w:rPr>
        <w:t xml:space="preserve">5.1. Контроль целевого использования полученной в соответствии с Порядком единовременной финансовой помощи, а также проверку соблюдения условий, целей и порядка ее предоставления осуществляет Департамент, центр занятости населения и орган государственного финансового контроля автономного округа.</w:t>
      </w:r>
    </w:p>
    <w:p>
      <w:pPr>
        <w:pStyle w:val="0"/>
        <w:spacing w:before="200" w:line-rule="auto"/>
        <w:ind w:firstLine="540"/>
        <w:jc w:val="both"/>
      </w:pPr>
      <w:r>
        <w:rPr>
          <w:sz w:val="20"/>
        </w:rPr>
        <w:t xml:space="preserve">5.2. Ответственность гражданина за нецелевое использование либо неиспользование предоставленной единовременной финансовой помощи определяется условиями договора.</w:t>
      </w:r>
    </w:p>
    <w:p>
      <w:pPr>
        <w:pStyle w:val="0"/>
        <w:spacing w:before="200" w:line-rule="auto"/>
        <w:ind w:firstLine="540"/>
        <w:jc w:val="both"/>
      </w:pPr>
      <w:r>
        <w:rPr>
          <w:sz w:val="20"/>
        </w:rPr>
        <w:t xml:space="preserve">5.3. Центр занятости населения принимает решение о возврате предоставленной в соответствии с Порядком единовременной финансовой помощи или ее части в случаях:</w:t>
      </w:r>
    </w:p>
    <w:bookmarkStart w:id="2403" w:name="P2403"/>
    <w:bookmarkEnd w:id="2403"/>
    <w:p>
      <w:pPr>
        <w:pStyle w:val="0"/>
        <w:spacing w:before="200" w:line-rule="auto"/>
        <w:ind w:firstLine="540"/>
        <w:jc w:val="both"/>
      </w:pPr>
      <w:r>
        <w:rPr>
          <w:sz w:val="20"/>
        </w:rPr>
        <w:t xml:space="preserve">нарушения гражданином условий договора;</w:t>
      </w:r>
    </w:p>
    <w:bookmarkStart w:id="2404" w:name="P2404"/>
    <w:bookmarkEnd w:id="2404"/>
    <w:p>
      <w:pPr>
        <w:pStyle w:val="0"/>
        <w:spacing w:before="200" w:line-rule="auto"/>
        <w:ind w:firstLine="540"/>
        <w:jc w:val="both"/>
      </w:pPr>
      <w:r>
        <w:rPr>
          <w:sz w:val="20"/>
        </w:rPr>
        <w:t xml:space="preserve">установления факта нецелевого использования либо неиспользования полученной в соответствии с Порядком единовременной финансовой помощи;</w:t>
      </w:r>
    </w:p>
    <w:bookmarkStart w:id="2405" w:name="P2405"/>
    <w:bookmarkEnd w:id="2405"/>
    <w:p>
      <w:pPr>
        <w:pStyle w:val="0"/>
        <w:spacing w:before="200" w:line-rule="auto"/>
        <w:ind w:firstLine="540"/>
        <w:jc w:val="both"/>
      </w:pPr>
      <w:r>
        <w:rPr>
          <w:sz w:val="20"/>
        </w:rPr>
        <w:t xml:space="preserve">непредставление гражданином в полном объеме документов, предусмотренных </w:t>
      </w:r>
      <w:hyperlink w:history="0" w:anchor="P2391" w:tooltip="4.17. Целевое использование полученной единовременной финансовой помощи гражданин подтверждает представлением не позднее 5 рабочих дней по истечении 9 месяцев со дня ее перечисления в центр занятости насе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
        <w:r>
          <w:rPr>
            <w:sz w:val="20"/>
            <w:color w:val="0000ff"/>
          </w:rPr>
          <w:t xml:space="preserve">пунктом 4.17</w:t>
        </w:r>
      </w:hyperlink>
      <w:r>
        <w:rPr>
          <w:sz w:val="20"/>
        </w:rPr>
        <w:t xml:space="preserve"> Порядка;</w:t>
      </w:r>
    </w:p>
    <w:bookmarkStart w:id="2406" w:name="P2406"/>
    <w:bookmarkEnd w:id="2406"/>
    <w:p>
      <w:pPr>
        <w:pStyle w:val="0"/>
        <w:spacing w:before="200" w:line-rule="auto"/>
        <w:ind w:firstLine="540"/>
        <w:jc w:val="both"/>
      </w:pPr>
      <w:r>
        <w:rPr>
          <w:sz w:val="20"/>
        </w:rPr>
        <w:t xml:space="preserve">нарушения гражданином установленных Порядком условий предоставления единовременной финансовой помощи, выявленных по фактам проверок, проведенных Департаментом, центром занятости населения и (или) органом государственного финансового контроля;</w:t>
      </w:r>
    </w:p>
    <w:bookmarkStart w:id="2407" w:name="P2407"/>
    <w:bookmarkEnd w:id="2407"/>
    <w:p>
      <w:pPr>
        <w:pStyle w:val="0"/>
        <w:spacing w:before="200" w:line-rule="auto"/>
        <w:ind w:firstLine="540"/>
        <w:jc w:val="both"/>
      </w:pPr>
      <w:r>
        <w:rPr>
          <w:sz w:val="20"/>
        </w:rPr>
        <w:t xml:space="preserve">уклонения гражданина от контроля Департамента, центра занятости населения и органа государственного финансового контроля соблюдения им условий договора, Порядка.</w:t>
      </w:r>
    </w:p>
    <w:p>
      <w:pPr>
        <w:pStyle w:val="0"/>
        <w:spacing w:before="200" w:line-rule="auto"/>
        <w:ind w:firstLine="540"/>
        <w:jc w:val="both"/>
      </w:pPr>
      <w:r>
        <w:rPr>
          <w:sz w:val="20"/>
        </w:rPr>
        <w:t xml:space="preserve">5.4. Центр занятости населения в течение 15 календарных дней со дня выявления оснований для возврата единовременной финансовой помощи или ее части направляет в адрес гражданина почтовым отправлением с уведомлением о вручении письменное требование о возврате единовременной финансовой помощи или ее части (далее - требование).</w:t>
      </w:r>
    </w:p>
    <w:p>
      <w:pPr>
        <w:pStyle w:val="0"/>
        <w:spacing w:before="200" w:line-rule="auto"/>
        <w:ind w:firstLine="540"/>
        <w:jc w:val="both"/>
      </w:pPr>
      <w:r>
        <w:rPr>
          <w:sz w:val="20"/>
        </w:rPr>
        <w:t xml:space="preserve">В случаях, установленных </w:t>
      </w:r>
      <w:hyperlink w:history="0" w:anchor="P2405" w:tooltip="непредставление гражданином в полном объеме документов, предусмотренных пунктом 4.17 Порядка;">
        <w:r>
          <w:rPr>
            <w:sz w:val="20"/>
            <w:color w:val="0000ff"/>
          </w:rPr>
          <w:t xml:space="preserve">абзацем четвертым пункта 5.3</w:t>
        </w:r>
      </w:hyperlink>
      <w:r>
        <w:rPr>
          <w:sz w:val="20"/>
        </w:rPr>
        <w:t xml:space="preserve"> Порядка, осуществляется возврат части единовременной финансовой помощи в размере, не подтвержденном документами, предусмотренными </w:t>
      </w:r>
      <w:hyperlink w:history="0" w:anchor="P2391" w:tooltip="4.17. Целевое использование полученной единовременной финансовой помощи гражданин подтверждает представлением не позднее 5 рабочих дней по истечении 9 месяцев со дня ее перечисления в центр занятости населения заверенных им копий отчетных документов (договоры, счета-фактуры, товарные накладные, акты выполненных работ, оказанных услуг, иные документы, оформленные в соответствии с требованиями законодательства Российской Федерации), с предъявлением их оригиналов.">
        <w:r>
          <w:rPr>
            <w:sz w:val="20"/>
            <w:color w:val="0000ff"/>
          </w:rPr>
          <w:t xml:space="preserve">пунктом 4.17</w:t>
        </w:r>
      </w:hyperlink>
      <w:r>
        <w:rPr>
          <w:sz w:val="20"/>
        </w:rPr>
        <w:t xml:space="preserve"> Порядка.</w:t>
      </w:r>
    </w:p>
    <w:p>
      <w:pPr>
        <w:pStyle w:val="0"/>
        <w:spacing w:before="200" w:line-rule="auto"/>
        <w:ind w:firstLine="540"/>
        <w:jc w:val="both"/>
      </w:pPr>
      <w:r>
        <w:rPr>
          <w:sz w:val="20"/>
        </w:rPr>
        <w:t xml:space="preserve">В случаях, установленных </w:t>
      </w:r>
      <w:hyperlink w:history="0" w:anchor="P2403" w:tooltip="нарушения гражданином условий договора;">
        <w:r>
          <w:rPr>
            <w:sz w:val="20"/>
            <w:color w:val="0000ff"/>
          </w:rPr>
          <w:t xml:space="preserve">абзацами вторым</w:t>
        </w:r>
      </w:hyperlink>
      <w:r>
        <w:rPr>
          <w:sz w:val="20"/>
        </w:rPr>
        <w:t xml:space="preserve">, </w:t>
      </w:r>
      <w:hyperlink w:history="0" w:anchor="P2404" w:tooltip="установления факта нецелевого использования либо неиспользования полученной в соответствии с Порядком единовременной финансовой помощи;">
        <w:r>
          <w:rPr>
            <w:sz w:val="20"/>
            <w:color w:val="0000ff"/>
          </w:rPr>
          <w:t xml:space="preserve">третьим</w:t>
        </w:r>
      </w:hyperlink>
      <w:r>
        <w:rPr>
          <w:sz w:val="20"/>
        </w:rPr>
        <w:t xml:space="preserve">, </w:t>
      </w:r>
      <w:hyperlink w:history="0" w:anchor="P2406" w:tooltip="нарушения гражданином установленных Порядком условий предоставления единовременной финансовой помощи, выявленных по фактам проверок, проведенных Департаментом, центром занятости населения и (или) органом государственного финансового контроля;">
        <w:r>
          <w:rPr>
            <w:sz w:val="20"/>
            <w:color w:val="0000ff"/>
          </w:rPr>
          <w:t xml:space="preserve">пятым</w:t>
        </w:r>
      </w:hyperlink>
      <w:r>
        <w:rPr>
          <w:sz w:val="20"/>
        </w:rPr>
        <w:t xml:space="preserve">, </w:t>
      </w:r>
      <w:hyperlink w:history="0" w:anchor="P2407" w:tooltip="уклонения гражданина от контроля Департамента, центра занятости населения и органа государственного финансового контроля соблюдения им условий договора, Порядка.">
        <w:r>
          <w:rPr>
            <w:sz w:val="20"/>
            <w:color w:val="0000ff"/>
          </w:rPr>
          <w:t xml:space="preserve">шестым пункта 5.3</w:t>
        </w:r>
      </w:hyperlink>
      <w:r>
        <w:rPr>
          <w:sz w:val="20"/>
        </w:rPr>
        <w:t xml:space="preserve"> Порядка, осуществляется возврат единовременной финансовой помощи в полном размере.</w:t>
      </w:r>
    </w:p>
    <w:p>
      <w:pPr>
        <w:pStyle w:val="0"/>
        <w:spacing w:before="200" w:line-rule="auto"/>
        <w:ind w:firstLine="540"/>
        <w:jc w:val="both"/>
      </w:pPr>
      <w:r>
        <w:rPr>
          <w:sz w:val="20"/>
        </w:rPr>
        <w:t xml:space="preserve">5.5. Возврат единовременной финансовой помощи в бюджет автономного округа гражданин осуществляет в течение 10 календарных дней с даты получения требования.</w:t>
      </w:r>
    </w:p>
    <w:p>
      <w:pPr>
        <w:pStyle w:val="0"/>
        <w:spacing w:before="200" w:line-rule="auto"/>
        <w:ind w:firstLine="540"/>
        <w:jc w:val="both"/>
      </w:pPr>
      <w:r>
        <w:rPr>
          <w:sz w:val="20"/>
        </w:rPr>
        <w:t xml:space="preserve">5.6. В случае невыполнения требования взыскание осуществляется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2424" w:name="P2424"/>
    <w:bookmarkEnd w:id="2424"/>
    <w:p>
      <w:pPr>
        <w:pStyle w:val="2"/>
        <w:jc w:val="center"/>
      </w:pPr>
      <w:r>
        <w:rPr>
          <w:sz w:val="20"/>
        </w:rPr>
        <w:t xml:space="preserve">ПОРЯДОК</w:t>
      </w:r>
    </w:p>
    <w:p>
      <w:pPr>
        <w:pStyle w:val="2"/>
        <w:jc w:val="center"/>
      </w:pPr>
      <w:r>
        <w:rPr>
          <w:sz w:val="20"/>
        </w:rPr>
        <w:t xml:space="preserve">УЧАСТИЯ ГОСУДАРСТВЕННЫХ УЧРЕЖДЕНИЙ ХАНТЫ-МАНСИЙСКОГО</w:t>
      </w:r>
    </w:p>
    <w:p>
      <w:pPr>
        <w:pStyle w:val="2"/>
        <w:jc w:val="center"/>
      </w:pPr>
      <w:r>
        <w:rPr>
          <w:sz w:val="20"/>
        </w:rPr>
        <w:t xml:space="preserve">АВТОНОМНОГО ОКРУГА - ЮГРЫ И МУНИЦИПАЛЬНЫХ УЧРЕЖДЕНИЙ</w:t>
      </w:r>
    </w:p>
    <w:p>
      <w:pPr>
        <w:pStyle w:val="2"/>
        <w:jc w:val="center"/>
      </w:pPr>
      <w:r>
        <w:rPr>
          <w:sz w:val="20"/>
        </w:rPr>
        <w:t xml:space="preserve">В МЕРОПРИЯТИЯХ ВРЕМЕННОГО И ПОСТОЯННОГО ТРУДОУСТРОЙСТВА</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24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01.07.2022 </w:t>
            </w:r>
            <w:hyperlink w:history="0" r:id="rId245"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298-п</w:t>
              </w:r>
            </w:hyperlink>
            <w:r>
              <w:rPr>
                <w:sz w:val="20"/>
                <w:color w:val="392c69"/>
              </w:rPr>
              <w:t xml:space="preserve">, от 23.09.2022 </w:t>
            </w:r>
            <w:hyperlink w:history="0" r:id="rId246"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473-п</w:t>
              </w:r>
            </w:hyperlink>
            <w:r>
              <w:rPr>
                <w:sz w:val="20"/>
                <w:color w:val="392c69"/>
              </w:rPr>
              <w:t xml:space="preserve">, от 14.10.2022 </w:t>
            </w:r>
            <w:hyperlink w:history="0" r:id="rId247"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color w:val="392c69"/>
              </w:rPr>
              <w:t xml:space="preserve">,</w:t>
            </w:r>
          </w:p>
          <w:p>
            <w:pPr>
              <w:pStyle w:val="0"/>
              <w:jc w:val="center"/>
            </w:pPr>
            <w:r>
              <w:rPr>
                <w:sz w:val="20"/>
                <w:color w:val="392c69"/>
              </w:rPr>
              <w:t xml:space="preserve">от 18.11.2022 </w:t>
            </w:r>
            <w:hyperlink w:history="0" r:id="rId248"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609-п</w:t>
              </w:r>
            </w:hyperlink>
            <w:r>
              <w:rPr>
                <w:sz w:val="20"/>
                <w:color w:val="392c69"/>
              </w:rPr>
              <w:t xml:space="preserve">, от 03.03.2023 </w:t>
            </w:r>
            <w:hyperlink w:history="0" r:id="rId249"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68-п</w:t>
              </w:r>
            </w:hyperlink>
            <w:r>
              <w:rPr>
                <w:sz w:val="20"/>
                <w:color w:val="392c69"/>
              </w:rPr>
              <w:t xml:space="preserve">, от 04.08.2023 </w:t>
            </w:r>
            <w:hyperlink w:history="0" r:id="rId250"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377-п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определяет условия участия государственных учреждений Ханты-Мансийского автономного округа - Югры и муниципальных учреждений в мероприятиях временного и постоянного трудоустройства государственной </w:t>
      </w:r>
      <w:hyperlink w:history="0" r:id="rId25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программы</w:t>
        </w:r>
      </w:hyperlink>
      <w:r>
        <w:rPr>
          <w:sz w:val="20"/>
        </w:rPr>
        <w:t xml:space="preserve"> Ханты-Мансийского автономного округа - Югры "Поддержка занятости населения", утвержденной постановлением Правительства автономного округа от 31 октября 2021 года N 472-п (далее - государственная программа, автономный округ).</w:t>
      </w:r>
    </w:p>
    <w:bookmarkStart w:id="2437" w:name="P2437"/>
    <w:bookmarkEnd w:id="2437"/>
    <w:p>
      <w:pPr>
        <w:pStyle w:val="0"/>
        <w:spacing w:before="200" w:line-rule="auto"/>
        <w:ind w:firstLine="540"/>
        <w:jc w:val="both"/>
      </w:pPr>
      <w:r>
        <w:rPr>
          <w:sz w:val="20"/>
        </w:rPr>
        <w:t xml:space="preserve">1.2. Государственные учреждения автономного округа и муниципальные учреждения вправе принять участие в мероприятиях:</w:t>
      </w:r>
    </w:p>
    <w:bookmarkStart w:id="2438" w:name="P2438"/>
    <w:bookmarkEnd w:id="2438"/>
    <w:p>
      <w:pPr>
        <w:pStyle w:val="0"/>
        <w:spacing w:before="200" w:line-rule="auto"/>
        <w:ind w:firstLine="540"/>
        <w:jc w:val="both"/>
      </w:pPr>
      <w:r>
        <w:rPr>
          <w:sz w:val="20"/>
        </w:rPr>
        <w:t xml:space="preserve">1.2.1. Временного трудоустройства:</w:t>
      </w:r>
    </w:p>
    <w:bookmarkStart w:id="2439" w:name="P2439"/>
    <w:bookmarkEnd w:id="2439"/>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 (основное </w:t>
      </w:r>
      <w:hyperlink w:history="0" r:id="rId25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1.5</w:t>
        </w:r>
      </w:hyperlink>
      <w:r>
        <w:rPr>
          <w:sz w:val="20"/>
        </w:rPr>
        <w:t xml:space="preserve"> "Содействие занятости молодежи" подпрограммы 1 "Содействие трудоустройству граждан" государственной программы (далее - основное мероприятие 1.5));</w:t>
      </w:r>
    </w:p>
    <w:p>
      <w:pPr>
        <w:pStyle w:val="0"/>
        <w:spacing w:before="200" w:line-rule="auto"/>
        <w:ind w:firstLine="540"/>
        <w:jc w:val="both"/>
      </w:pPr>
      <w:r>
        <w:rPr>
          <w:sz w:val="20"/>
        </w:rPr>
        <w:t xml:space="preserve">организация временного трудоустройства граждан (безработных граждан), испытывающих трудности в поиске работы (основное </w:t>
      </w:r>
      <w:hyperlink w:history="0" r:id="rId25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 "Содействие улучшению положения на рынке труда не занятых трудовой деятельностью и безработных граждан" подпрограммы 1 "Содействие трудоустройству граждан" государственной программы (далее - основное мероприятие 1.2));</w:t>
      </w:r>
    </w:p>
    <w:p>
      <w:pPr>
        <w:pStyle w:val="0"/>
        <w:jc w:val="both"/>
      </w:pPr>
      <w:r>
        <w:rPr>
          <w:sz w:val="20"/>
        </w:rPr>
        <w:t xml:space="preserve">(в ред. постановлений Правительства ХМАО - Югры от 14.10.2022 </w:t>
      </w:r>
      <w:hyperlink w:history="0" r:id="rId254"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rPr>
        <w:t xml:space="preserve">, от 03.03.2023 </w:t>
      </w:r>
      <w:hyperlink w:history="0" r:id="rId255"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68-п</w:t>
        </w:r>
      </w:hyperlink>
      <w:r>
        <w:rPr>
          <w:sz w:val="20"/>
        </w:rPr>
        <w:t xml:space="preserve">)</w:t>
      </w:r>
    </w:p>
    <w:p>
      <w:pPr>
        <w:pStyle w:val="0"/>
        <w:spacing w:before="200" w:line-rule="auto"/>
        <w:ind w:firstLine="540"/>
        <w:jc w:val="both"/>
      </w:pPr>
      <w:r>
        <w:rPr>
          <w:sz w:val="20"/>
        </w:rPr>
        <w:t xml:space="preserve">организация проведения оплачиваемых общественных работ для не занятых трудовой деятельностью и безработных граждан (основное </w:t>
      </w:r>
      <w:hyperlink w:history="0" r:id="rId25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организация временного трудоустройства выпускников в возрасте от 18 до 25 лет, имеющих среднее профессиональное образование или высшее образование (основное </w:t>
      </w:r>
      <w:hyperlink w:history="0" r:id="rId25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1.5</w:t>
        </w:r>
      </w:hyperlink>
      <w:r>
        <w:rPr>
          <w:sz w:val="20"/>
        </w:rPr>
        <w:t xml:space="preserve">);</w:t>
      </w:r>
    </w:p>
    <w:p>
      <w:pPr>
        <w:pStyle w:val="0"/>
        <w:spacing w:before="200" w:line-rule="auto"/>
        <w:ind w:firstLine="540"/>
        <w:jc w:val="both"/>
      </w:pPr>
      <w:r>
        <w:rPr>
          <w:sz w:val="20"/>
        </w:rPr>
        <w:t xml:space="preserve">организация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 (основное </w:t>
      </w:r>
      <w:hyperlink w:history="0" r:id="rId25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организация временного трудоустройства граждан предпенсионного и пенсионного возраста (основное </w:t>
      </w:r>
      <w:hyperlink w:history="0" r:id="rId259"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содействие временному трудоустройству лиц, осужденных к наказанию в виде исправительных работ, не имеющих основного места работы (основное </w:t>
      </w:r>
      <w:hyperlink w:history="0" r:id="rId26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организация стажировок инвалидов трудоспособного возраста, в том числе инвалидов молодого возраста и инвалидов, получивших инвалидность впервые (основное </w:t>
      </w:r>
      <w:hyperlink w:history="0" r:id="rId26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4.2</w:t>
        </w:r>
      </w:hyperlink>
      <w:r>
        <w:rPr>
          <w:sz w:val="20"/>
        </w:rPr>
        <w:t xml:space="preserve"> "Привлечение работодателей к трудоустройству инвалидов" подпрограммы 4 "Содействие трудоустройству лиц с инвалидностью" государственной программы (далее - основное мероприятие 4.2)).</w:t>
      </w:r>
    </w:p>
    <w:p>
      <w:pPr>
        <w:pStyle w:val="0"/>
        <w:jc w:val="both"/>
      </w:pPr>
      <w:r>
        <w:rPr>
          <w:sz w:val="20"/>
        </w:rPr>
        <w:t xml:space="preserve">(в ред. </w:t>
      </w:r>
      <w:hyperlink w:history="0" r:id="rId262"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bookmarkStart w:id="2449" w:name="P2449"/>
    <w:bookmarkEnd w:id="2449"/>
    <w:p>
      <w:pPr>
        <w:pStyle w:val="0"/>
        <w:spacing w:before="200" w:line-rule="auto"/>
        <w:ind w:firstLine="540"/>
        <w:jc w:val="both"/>
      </w:pPr>
      <w:r>
        <w:rPr>
          <w:sz w:val="20"/>
        </w:rPr>
        <w:t xml:space="preserve">1.2.2. Постоянного трудоустройства:</w:t>
      </w:r>
    </w:p>
    <w:p>
      <w:pPr>
        <w:pStyle w:val="0"/>
        <w:spacing w:before="200" w:line-rule="auto"/>
        <w:ind w:firstLine="540"/>
        <w:jc w:val="both"/>
      </w:pPr>
      <w:r>
        <w:rPr>
          <w:sz w:val="20"/>
        </w:rPr>
        <w:t xml:space="preserve">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w:history="0" r:id="rId26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w:history="0" r:id="rId26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4.1</w:t>
        </w:r>
      </w:hyperlink>
      <w:r>
        <w:rPr>
          <w:sz w:val="20"/>
        </w:rP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программы (далее - основное мероприятие 4.1)).</w:t>
      </w:r>
    </w:p>
    <w:bookmarkStart w:id="2452" w:name="P2452"/>
    <w:bookmarkEnd w:id="2452"/>
    <w:p>
      <w:pPr>
        <w:pStyle w:val="0"/>
        <w:spacing w:before="200" w:line-rule="auto"/>
        <w:ind w:firstLine="540"/>
        <w:jc w:val="both"/>
      </w:pPr>
      <w:r>
        <w:rPr>
          <w:sz w:val="20"/>
        </w:rPr>
        <w:t xml:space="preserve">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w:t>
      </w:r>
    </w:p>
    <w:p>
      <w:pPr>
        <w:pStyle w:val="0"/>
        <w:jc w:val="both"/>
      </w:pPr>
      <w:r>
        <w:rPr>
          <w:sz w:val="20"/>
        </w:rPr>
        <w:t xml:space="preserve">(пп. 1.2.3 введен </w:t>
      </w:r>
      <w:hyperlink w:history="0" r:id="rId265"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 в ред. </w:t>
      </w:r>
      <w:hyperlink w:history="0" r:id="rId266"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bookmarkStart w:id="2454" w:name="P2454"/>
    <w:bookmarkEnd w:id="2454"/>
    <w:p>
      <w:pPr>
        <w:pStyle w:val="0"/>
        <w:spacing w:before="200" w:line-rule="auto"/>
        <w:ind w:firstLine="540"/>
        <w:jc w:val="both"/>
      </w:pPr>
      <w:r>
        <w:rPr>
          <w:sz w:val="20"/>
        </w:rPr>
        <w:t xml:space="preserve">1.3. В Порядке применяются следующие основные понятия и сокращения:</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гражданин предпенсионного возраста - не занятый трудовой деятельностью гражданин Российской Федерации, испытывающий трудности в поиске подходящей работы и обратившийся в центр занятости населения в течение 5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гражданин пенсионного возраста - не занятый трудовой деятельностью гражданин Российской Федерации, обратившийся в центр занятости населения, которому в соответствии с законодательством Российской Федерации назначена страховая пенсия по старости либо пенсия за выслугу лет;</w:t>
      </w:r>
    </w:p>
    <w:p>
      <w:pPr>
        <w:pStyle w:val="0"/>
        <w:spacing w:before="200" w:line-rule="auto"/>
        <w:ind w:firstLine="540"/>
        <w:jc w:val="both"/>
      </w:pPr>
      <w:r>
        <w:rPr>
          <w:sz w:val="20"/>
        </w:rPr>
        <w:t xml:space="preserve">гражданин, испытывающий трудности в поиске работы, - гражданин Российской Федерации, зарегистрированный в центре занятости населения в целях поиска подходящей работы, не признанный или признанный в установленном федеральным законодательством порядке безработным, отнесенный в соответствии со </w:t>
      </w:r>
      <w:hyperlink w:history="0" r:id="rId26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5</w:t>
        </w:r>
      </w:hyperlink>
      <w:r>
        <w:rPr>
          <w:sz w:val="20"/>
        </w:rPr>
        <w:t xml:space="preserve"> Закона Российской Федерации от 19 апреля 1991 года N 1032-1 "О занятости населения в Российской Федерации" к гражданам, испытывающим трудности в поиске работы, а также гражданин, зарегистрированный в целях поиска подходящей работы и отнесенный к одной из категорий, предусмотренных </w:t>
      </w:r>
      <w:hyperlink w:history="0" r:id="rId268" w:tooltip="Постановление Правительства РФ от 16.03.2022 N 376 (ред. от 29.05.2023) &quot;Об особенностях организации предоставления государственных услуг в сфере занятости населения в 2022 и 2023 годах&quot; {КонсультантПлюс}">
        <w:r>
          <w:rPr>
            <w:sz w:val="20"/>
            <w:color w:val="0000ff"/>
          </w:rPr>
          <w:t xml:space="preserve">постановлением</w:t>
        </w:r>
      </w:hyperlink>
      <w:r>
        <w:rPr>
          <w:sz w:val="20"/>
        </w:rPr>
        <w:t xml:space="preserve"> Правительства Российской Федерации от 16 марта 2022 года N 376 "Об особенностях организации предоставления государственных услуг в сфере занятости населения в 2022 и 2023 годах";</w:t>
      </w:r>
    </w:p>
    <w:p>
      <w:pPr>
        <w:pStyle w:val="0"/>
        <w:jc w:val="both"/>
      </w:pPr>
      <w:r>
        <w:rPr>
          <w:sz w:val="20"/>
        </w:rPr>
        <w:t xml:space="preserve">(в ред. постановлений Правительства ХМАО - Югры от 14.10.2022 </w:t>
      </w:r>
      <w:hyperlink w:history="0" r:id="rId26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rPr>
        <w:t xml:space="preserve">, от 04.08.2023 </w:t>
      </w:r>
      <w:hyperlink w:history="0" r:id="rId270" w:tooltip="Постановление Правительства ХМАО - Югры от 04.08.2023 N 377-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377-п</w:t>
        </w:r>
      </w:hyperlink>
      <w:r>
        <w:rPr>
          <w:sz w:val="20"/>
        </w:rPr>
        <w:t xml:space="preserve">)</w:t>
      </w:r>
    </w:p>
    <w:p>
      <w:pPr>
        <w:pStyle w:val="0"/>
        <w:spacing w:before="200" w:line-rule="auto"/>
        <w:ind w:firstLine="540"/>
        <w:jc w:val="both"/>
      </w:pPr>
      <w:r>
        <w:rPr>
          <w:sz w:val="20"/>
        </w:rPr>
        <w:t xml:space="preserve">выпускник - гражданин Российской Федерации в возрасте от 18 до 25 лет, имеющий среднее профессиональное образование, высшее образование, обратившийся в центр занятости населения в целях поиска рабочего места по полученной квалификации, профессии в течение 12 месяцев после получения документа об образовании и (или) о квалификации, не имеющий трудового стажа по полученной квалификации, профессии. К числу выпускников профессиональных образовательных организаций и образовательных организаций высшего образования также относится гражданин в возрасте до 25 лет, призванный по окончании образовательной организации для прохождения военной службы в Вооруженных Силах Российской Федерации, других войсках и воинских формированиях, обратившийся в центр занятости населения в целях поиска рабочего места по полученной профессии, специальности, направлению подготовки в течение 12 месяцев с даты истечения срока военной службы по призыву;</w:t>
      </w:r>
    </w:p>
    <w:p>
      <w:pPr>
        <w:pStyle w:val="0"/>
        <w:jc w:val="both"/>
      </w:pPr>
      <w:r>
        <w:rPr>
          <w:sz w:val="20"/>
        </w:rPr>
        <w:t xml:space="preserve">(в ред. </w:t>
      </w:r>
      <w:hyperlink w:history="0" r:id="rId27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родители - граждане Российской Федерации, обратившиеся в центр занятости населения в целях поиска подходящей работы и имеющие детей до 18 лет из числа незанятых одиноких родителей (матери, отцы, мачехи, отчимы, усыновители, опекуны, попечители, приемные родители, не имеющие в силу различных причин (развод, смерть, лишение родительских прав, рождение ребенка вне брака) супруга (супруги)), многодетных родителей (семьи, имеющие удостоверение многодетной семьи или иные документы, подтверждающие статус многодетной семьи в порядке, установленном нормативными правовыми актами автономного округа), родителей, воспитывающих детей-инвалидов (признанных в установленном порядке детьми-инвалидами);</w:t>
      </w:r>
    </w:p>
    <w:p>
      <w:pPr>
        <w:pStyle w:val="0"/>
        <w:spacing w:before="200" w:line-rule="auto"/>
        <w:ind w:firstLine="540"/>
        <w:jc w:val="both"/>
      </w:pPr>
      <w:r>
        <w:rPr>
          <w:sz w:val="20"/>
        </w:rPr>
        <w:t xml:space="preserve">женщина - обратившаяся в центр занятости населения в целях поиска подходящей работы незанятая трудовой деятельностью женщина, осуществляющая уход за ребенком в возрасте до 3 лет;</w:t>
      </w:r>
    </w:p>
    <w:p>
      <w:pPr>
        <w:pStyle w:val="0"/>
        <w:spacing w:before="200" w:line-rule="auto"/>
        <w:ind w:firstLine="540"/>
        <w:jc w:val="both"/>
      </w:pPr>
      <w:r>
        <w:rPr>
          <w:sz w:val="20"/>
        </w:rPr>
        <w:t xml:space="preserve">инвалид - гражданин Российской Федерации из числа незанятых инвалидов в трудоспособном возрасте (установленном в Российской Федерации на момент заключения договора с работодателем), зарегистрированный в установленном законодательством Российской Федерации порядке по месту жительства на территории автономного округа, обратившийся в центр занятости населения в целях поиска подходящей работы, в том числе инвалид молодого возраста (от 18 до 44 лет), инвалид, получивший инвалидность впервые (обратившийся в центр занятости населения в течение 24 месяцев после получения инвалидности);</w:t>
      </w:r>
    </w:p>
    <w:p>
      <w:pPr>
        <w:pStyle w:val="0"/>
        <w:spacing w:before="200" w:line-rule="auto"/>
        <w:ind w:firstLine="540"/>
        <w:jc w:val="both"/>
      </w:pPr>
      <w:r>
        <w:rPr>
          <w:sz w:val="20"/>
        </w:rPr>
        <w:t xml:space="preserve">безработный гражданин - трудоспособный гражданин Российской Федерации, не имеющий работы и заработка, который зарегистрирован в центре занятости населения в целях поиска подходящей работы, ищет работу и готов приступить к ней;</w:t>
      </w:r>
    </w:p>
    <w:p>
      <w:pPr>
        <w:pStyle w:val="0"/>
        <w:spacing w:before="200" w:line-rule="auto"/>
        <w:ind w:firstLine="540"/>
        <w:jc w:val="both"/>
      </w:pPr>
      <w:r>
        <w:rPr>
          <w:sz w:val="20"/>
        </w:rPr>
        <w:t xml:space="preserve">не занятый трудовой деятельностью гражданин - трудоспособный гражданин Российской Федерации, зарегистрированный в центре занятости населения в целях поиска подходящей работы, не признанный в установленном федеральным законодательством порядке безработным;</w:t>
      </w:r>
    </w:p>
    <w:p>
      <w:pPr>
        <w:pStyle w:val="0"/>
        <w:spacing w:before="200" w:line-rule="auto"/>
        <w:ind w:firstLine="540"/>
        <w:jc w:val="both"/>
      </w:pPr>
      <w:r>
        <w:rPr>
          <w:sz w:val="20"/>
        </w:rPr>
        <w:t xml:space="preserve">гражданин - не занятый трудовой деятельностью гражданин; безработный гражданин; гражданин предпенсионного возраста; гражданин пенсионного возраста; выпускник; наставник; несовершеннолетний гражданин в возрасте от 14 до 18 лет; гражданин, испытывающий трудности в поиске работы; гражданин, освобожденный из учреждения, исполняющего наказание в виде лишения свободы; не занятый трудовой деятельностью и (или) безработный гражданин из числа коренных малочисленных народов Севера автономного округа, в том числе постоянно проживающий в местах их традиционного проживания и традиционной хозяйственной деятельности, зарегистрированный в центре занятости населения в целях поиска подходящей работы; гражданин, осужденный к наказанию в виде исправительных работ, не имеющий основного места работы; родители; женщина; инвалид; гражданин, трудоустроенный по срочному трудовому договору на рабочее место сотрудника, поступившего на военную службу;</w:t>
      </w:r>
    </w:p>
    <w:p>
      <w:pPr>
        <w:pStyle w:val="0"/>
        <w:jc w:val="both"/>
      </w:pPr>
      <w:r>
        <w:rPr>
          <w:sz w:val="20"/>
        </w:rPr>
        <w:t xml:space="preserve">(в ред. постановлений Правительства ХМАО - Югры от 23.09.2022 </w:t>
      </w:r>
      <w:hyperlink w:history="0" r:id="rId272"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473-п</w:t>
        </w:r>
      </w:hyperlink>
      <w:r>
        <w:rPr>
          <w:sz w:val="20"/>
        </w:rPr>
        <w:t xml:space="preserve">, от 14.10.2022 </w:t>
      </w:r>
      <w:hyperlink w:history="0" r:id="rId273"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rPr>
        <w:t xml:space="preserve">)</w:t>
      </w:r>
    </w:p>
    <w:p>
      <w:pPr>
        <w:pStyle w:val="0"/>
        <w:spacing w:before="200" w:line-rule="auto"/>
        <w:ind w:firstLine="540"/>
        <w:jc w:val="both"/>
      </w:pPr>
      <w:r>
        <w:rPr>
          <w:sz w:val="20"/>
        </w:rPr>
        <w:t xml:space="preserve">учреждение - государственное учреждение автономного округа и (или) муниципальное учреждение, с которым гражданин вступает в трудовые отношения;</w:t>
      </w:r>
    </w:p>
    <w:bookmarkStart w:id="2471" w:name="P2471"/>
    <w:bookmarkEnd w:id="2471"/>
    <w:p>
      <w:pPr>
        <w:pStyle w:val="0"/>
        <w:spacing w:before="200" w:line-rule="auto"/>
        <w:ind w:firstLine="540"/>
        <w:jc w:val="both"/>
      </w:pPr>
      <w:r>
        <w:rPr>
          <w:sz w:val="20"/>
        </w:rPr>
        <w:t xml:space="preserve">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заключением контракта, призывом на военную службу по мобилизации в Вооруженные Силы Российской Федерации;</w:t>
      </w:r>
    </w:p>
    <w:p>
      <w:pPr>
        <w:pStyle w:val="0"/>
        <w:jc w:val="both"/>
      </w:pPr>
      <w:r>
        <w:rPr>
          <w:sz w:val="20"/>
        </w:rPr>
        <w:t xml:space="preserve">(абзац введен </w:t>
      </w:r>
      <w:hyperlink w:history="0" r:id="rId274"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p>
      <w:pPr>
        <w:pStyle w:val="0"/>
        <w:spacing w:before="200" w:line-rule="auto"/>
        <w:ind w:firstLine="540"/>
        <w:jc w:val="both"/>
      </w:pPr>
      <w:r>
        <w:rPr>
          <w:sz w:val="20"/>
        </w:rPr>
        <w:t xml:space="preserve">временное трудоустройство - временная трудовая деятельность граждан и общественные работы для не занятых трудовой деятельностью и безработных граждан, а также стажировка инвалидов, проживающих в автономном округе (временное трудоустройство на период до 6 месяцев на рабочие места, созданные на территории автономного округа), временное трудоустройство выпускников, трудоустройство по срочному трудовому договору на рабочее место сотрудника, поступившего на военную службу;</w:t>
      </w:r>
    </w:p>
    <w:p>
      <w:pPr>
        <w:pStyle w:val="0"/>
        <w:jc w:val="both"/>
      </w:pPr>
      <w:r>
        <w:rPr>
          <w:sz w:val="20"/>
        </w:rPr>
        <w:t xml:space="preserve">(в ред. постановлений Правительства ХМАО - Югры от 13.05.2022 </w:t>
      </w:r>
      <w:hyperlink w:history="0" r:id="rId275"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rPr>
        <w:t xml:space="preserve">, от 14.10.2022 </w:t>
      </w:r>
      <w:hyperlink w:history="0" r:id="rId276"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rPr>
        <w:t xml:space="preserve">)</w:t>
      </w:r>
    </w:p>
    <w:p>
      <w:pPr>
        <w:pStyle w:val="0"/>
        <w:spacing w:before="200" w:line-rule="auto"/>
        <w:ind w:firstLine="540"/>
        <w:jc w:val="both"/>
      </w:pPr>
      <w:r>
        <w:rPr>
          <w:sz w:val="20"/>
        </w:rPr>
        <w:t xml:space="preserve">территории с напряженной ситуацией на рынке труда - муниципальные образования автономного округа, отнесенные к таковым в соответствии с правилами отнесения муниципальных образований автономного округа к территориям с напряженной ситуацией на рынке труда, утвержденными распоряжением Департамента;</w:t>
      </w:r>
    </w:p>
    <w:p>
      <w:pPr>
        <w:pStyle w:val="0"/>
        <w:spacing w:before="200" w:line-rule="auto"/>
        <w:ind w:firstLine="540"/>
        <w:jc w:val="both"/>
      </w:pPr>
      <w:r>
        <w:rPr>
          <w:sz w:val="20"/>
        </w:rPr>
        <w:t xml:space="preserve">постоянное рабочее место - рабочее место (в том числе специальное), оснащенное предметами и средствами труда (технические средства, оборудование, мебель, инструменты) для осуществления работником из числа родителей, инвалидов, женщин трудовой деятельности в производственном процессе, в том числе организованное на дому для надомной и (или) дистанционной работы, на период не менее чем на 12 месяцев;</w:t>
      </w:r>
    </w:p>
    <w:p>
      <w:pPr>
        <w:pStyle w:val="0"/>
        <w:spacing w:before="200" w:line-rule="auto"/>
        <w:ind w:firstLine="540"/>
        <w:jc w:val="both"/>
      </w:pPr>
      <w:r>
        <w:rPr>
          <w:sz w:val="20"/>
        </w:rPr>
        <w:t xml:space="preserve">специальное рабочее место для трудоустройства инвалида - рабочее место, определенное в соответствии со </w:t>
      </w:r>
      <w:hyperlink w:history="0" r:id="rId27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22</w:t>
        </w:r>
      </w:hyperlink>
      <w:r>
        <w:rPr>
          <w:sz w:val="20"/>
        </w:rPr>
        <w:t xml:space="preserve"> Федерального закона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наставник - работник учреждения, назначенный актом учреждения и осуществляющий регулярную помощь трудоустроенному инвалиду с целью его адаптации на рабочем месте либо обеспечивающий помощь в профессиональном становлении, развитии и адаптации к квалифицированному исполнению должностных обязанностей выпускником;</w:t>
      </w:r>
    </w:p>
    <w:p>
      <w:pPr>
        <w:pStyle w:val="0"/>
        <w:spacing w:before="200" w:line-rule="auto"/>
        <w:ind w:firstLine="540"/>
        <w:jc w:val="both"/>
      </w:pPr>
      <w:r>
        <w:rPr>
          <w:sz w:val="20"/>
        </w:rPr>
        <w:t xml:space="preserve">мероприятия временного трудоустройства - мероприятия, предусмотренные </w:t>
      </w:r>
      <w:hyperlink w:history="0" w:anchor="P2438" w:tooltip="1.2.1. Временного трудоустройства:">
        <w:r>
          <w:rPr>
            <w:sz w:val="20"/>
            <w:color w:val="0000ff"/>
          </w:rPr>
          <w:t xml:space="preserve">подпунктами 1.2.1</w:t>
        </w:r>
      </w:hyperlink>
      <w:r>
        <w:rPr>
          <w:sz w:val="20"/>
        </w:rPr>
        <w:t xml:space="preserve">,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1.2.3 пункта 1.2</w:t>
        </w:r>
      </w:hyperlink>
      <w:r>
        <w:rPr>
          <w:sz w:val="20"/>
        </w:rPr>
        <w:t xml:space="preserve"> Порядка;</w:t>
      </w:r>
    </w:p>
    <w:p>
      <w:pPr>
        <w:pStyle w:val="0"/>
        <w:jc w:val="both"/>
      </w:pPr>
      <w:r>
        <w:rPr>
          <w:sz w:val="20"/>
        </w:rPr>
        <w:t xml:space="preserve">(в ред. </w:t>
      </w:r>
      <w:hyperlink w:history="0" r:id="rId278"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мероприятия постоянного трудоустройства - мероприятия, предусмотренные </w:t>
      </w:r>
      <w:hyperlink w:history="0" w:anchor="P2449" w:tooltip="1.2.2. Постоянного трудоустройства:">
        <w:r>
          <w:rPr>
            <w:sz w:val="20"/>
            <w:color w:val="0000ff"/>
          </w:rPr>
          <w:t xml:space="preserve">подпунктом 1.2.2 пункта 1.2</w:t>
        </w:r>
      </w:hyperlink>
      <w:r>
        <w:rPr>
          <w:sz w:val="20"/>
        </w:rPr>
        <w:t xml:space="preserve"> Порядка;</w:t>
      </w:r>
    </w:p>
    <w:p>
      <w:pPr>
        <w:pStyle w:val="0"/>
        <w:spacing w:before="200" w:line-rule="auto"/>
        <w:ind w:firstLine="540"/>
        <w:jc w:val="both"/>
      </w:pPr>
      <w:r>
        <w:rPr>
          <w:sz w:val="20"/>
        </w:rPr>
        <w:t xml:space="preserve">компенсация по оплате труда - возмещение затрат учреждения по оплате труда граждан, участвующих в мероприятиях временного трудоустройства, а также наставников с учетом страховых взносов (не более установленного Порядком размера).</w:t>
      </w:r>
    </w:p>
    <w:p>
      <w:pPr>
        <w:pStyle w:val="0"/>
        <w:spacing w:before="200" w:line-rule="auto"/>
        <w:ind w:firstLine="540"/>
        <w:jc w:val="both"/>
      </w:pPr>
      <w:r>
        <w:rPr>
          <w:sz w:val="20"/>
        </w:rPr>
        <w:t xml:space="preserve">1.4. Средства бюджета автономного округа на мероприятия, указанные в </w:t>
      </w:r>
      <w:hyperlink w:history="0" w:anchor="P2437" w:tooltip="1.2. Государственные учреждения автономного округа и муниципальные учреждения вправе принять участие в мероприятиях:">
        <w:r>
          <w:rPr>
            <w:sz w:val="20"/>
            <w:color w:val="0000ff"/>
          </w:rPr>
          <w:t xml:space="preserve">пункте 1.2</w:t>
        </w:r>
      </w:hyperlink>
      <w:r>
        <w:rPr>
          <w:sz w:val="20"/>
        </w:rPr>
        <w:t xml:space="preserve"> Порядка, предоставляет Департамент,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 (далее - бюджетные средства), с целью:</w:t>
      </w:r>
    </w:p>
    <w:bookmarkStart w:id="2484" w:name="P2484"/>
    <w:bookmarkEnd w:id="2484"/>
    <w:p>
      <w:pPr>
        <w:pStyle w:val="0"/>
        <w:spacing w:before="200" w:line-rule="auto"/>
        <w:ind w:firstLine="540"/>
        <w:jc w:val="both"/>
      </w:pPr>
      <w:r>
        <w:rPr>
          <w:sz w:val="20"/>
        </w:rPr>
        <w:t xml:space="preserve">компенсации по оплате труда;</w:t>
      </w:r>
    </w:p>
    <w:bookmarkStart w:id="2485" w:name="P2485"/>
    <w:bookmarkEnd w:id="2485"/>
    <w:p>
      <w:pPr>
        <w:pStyle w:val="0"/>
        <w:spacing w:before="200" w:line-rule="auto"/>
        <w:ind w:firstLine="540"/>
        <w:jc w:val="both"/>
      </w:pPr>
      <w:r>
        <w:rPr>
          <w:sz w:val="20"/>
        </w:rPr>
        <w:t xml:space="preserve">финансового обеспечения затрат по оснащению (дооснащению) постоянных рабочих мест при реализации мероприятий постоянного трудоустройства (далее - финансовое обеспечение затрат по оснащению (дооснащению) постоянных рабочих мест);</w:t>
      </w:r>
    </w:p>
    <w:bookmarkStart w:id="2486" w:name="P2486"/>
    <w:bookmarkEnd w:id="2486"/>
    <w:p>
      <w:pPr>
        <w:pStyle w:val="0"/>
        <w:spacing w:before="200" w:line-rule="auto"/>
        <w:ind w:firstLine="540"/>
        <w:jc w:val="both"/>
      </w:pPr>
      <w:r>
        <w:rPr>
          <w:sz w:val="20"/>
        </w:rPr>
        <w:t xml:space="preserve">сохранения рабочих мест сотрудников, поступивших на военную службу, и возмещения части расходов учреждения по оплате труда гражданина, трудоустроенного по срочному трудовому договору на рабочее место сотрудника, поступившего на военную службу (для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w:t>
      </w:r>
    </w:p>
    <w:p>
      <w:pPr>
        <w:pStyle w:val="0"/>
        <w:jc w:val="both"/>
      </w:pPr>
      <w:r>
        <w:rPr>
          <w:sz w:val="20"/>
        </w:rPr>
        <w:t xml:space="preserve">(абзац введен </w:t>
      </w:r>
      <w:hyperlink w:history="0" r:id="rId279"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p>
      <w:pPr>
        <w:pStyle w:val="0"/>
        <w:spacing w:before="200" w:line-rule="auto"/>
        <w:ind w:firstLine="540"/>
        <w:jc w:val="both"/>
      </w:pPr>
      <w:r>
        <w:rPr>
          <w:sz w:val="20"/>
        </w:rPr>
        <w:t xml:space="preserve">1.5. Прием от учреждений документов для получения бюджетных средств и подтверждающих их целевое расходование, проверку учреждений на соответствие установленным Порядком требованиям, принятие решения о предоставлении бюджетных средств, заключение договора о реализации мероприятий между учреждением и центром занятости населения (далее - договор о реализации мероприятий), осуществление контроля соблюдения условий, целей и порядка расходования учреждением бюджетных средств, а также иные действия, необходимые для реализации Порядка, осуществляет центр занятости населения на основании доверенности, выданной Департаментом.</w:t>
      </w:r>
    </w:p>
    <w:p>
      <w:pPr>
        <w:pStyle w:val="0"/>
        <w:spacing w:before="200" w:line-rule="auto"/>
        <w:ind w:firstLine="540"/>
        <w:jc w:val="both"/>
      </w:pPr>
      <w:r>
        <w:rPr>
          <w:sz w:val="20"/>
        </w:rPr>
        <w:t xml:space="preserve">1.6. Выпускнику, безработному гражданину, безработному гражданину, испытывающему трудности в поиске работы, в период их временного трудоустройства выплачивается материальная поддержка в размерах, предусмотренных </w:t>
      </w:r>
      <w:hyperlink w:history="0" w:anchor="P2497" w:tooltip="Размеры компенсации по оплате труда и материальной">
        <w:r>
          <w:rPr>
            <w:sz w:val="20"/>
            <w:color w:val="0000ff"/>
          </w:rPr>
          <w:t xml:space="preserve">таблицей 1</w:t>
        </w:r>
      </w:hyperlink>
      <w:r>
        <w:rPr>
          <w:sz w:val="20"/>
        </w:rPr>
        <w:t xml:space="preserve">, на основании представленных учреждением в центр занятости населения заверенных им копии приказа о приеме на работу выпускника, безработного гражданина, безработного гражданина, испытывающего трудности в поиске работы, и табеля учета рабочего времени в сроки, установленные договором о реализации мероприятий.</w:t>
      </w:r>
    </w:p>
    <w:p>
      <w:pPr>
        <w:pStyle w:val="0"/>
        <w:spacing w:before="200" w:line-rule="auto"/>
        <w:ind w:firstLine="540"/>
        <w:jc w:val="both"/>
      </w:pPr>
      <w:r>
        <w:rPr>
          <w:sz w:val="20"/>
        </w:rPr>
        <w:t xml:space="preserve">На основании заверенной учреждением копии приказа о приеме на работу выпускника, безработного гражданина, безработного гражданина, испытывающего трудности в поиске работы, в день ее поступления издается приказ о назначении материальной поддержки.</w:t>
      </w:r>
    </w:p>
    <w:p>
      <w:pPr>
        <w:pStyle w:val="0"/>
        <w:spacing w:before="200" w:line-rule="auto"/>
        <w:ind w:firstLine="540"/>
        <w:jc w:val="both"/>
      </w:pPr>
      <w:r>
        <w:rPr>
          <w:sz w:val="20"/>
        </w:rPr>
        <w:t xml:space="preserve">Материальная поддержка перечисляется выпускнику, безработному гражданину, безработному гражданину, испытывающему трудности в поиске работы, на их лицевые счета, открытые в российской кредитной организации, в течение 7 рабочих дней со дня представления учреждением табеля учета рабочего времени.</w:t>
      </w:r>
    </w:p>
    <w:p>
      <w:pPr>
        <w:pStyle w:val="0"/>
        <w:spacing w:before="200" w:line-rule="auto"/>
        <w:ind w:firstLine="540"/>
        <w:jc w:val="both"/>
      </w:pPr>
      <w:r>
        <w:rPr>
          <w:sz w:val="20"/>
        </w:rPr>
        <w:t xml:space="preserve">1.7. Компенсация по оплате труда предоставляется:</w:t>
      </w:r>
    </w:p>
    <w:p>
      <w:pPr>
        <w:pStyle w:val="0"/>
        <w:spacing w:before="200" w:line-rule="auto"/>
        <w:ind w:firstLine="540"/>
        <w:jc w:val="both"/>
      </w:pPr>
      <w:r>
        <w:rPr>
          <w:sz w:val="20"/>
        </w:rPr>
        <w:t xml:space="preserve">1.7.1. По мероприятиям временного трудоустройства (за исключением мероприятия, предусмотренного </w:t>
      </w:r>
      <w:hyperlink w:history="0" w:anchor="P2439" w:tooltip="организация временного трудоустройства несовершеннолетних граждан в возрасте от 14 до 18 лет в свободное от учебы время (основное мероприятие 1.5 &quot;Содействие занятости молодежи&quot; подпрограммы 1 &quot;Содействие трудоустройству граждан&quot; государственной программы (далее - основное мероприятие 1.5));">
        <w:r>
          <w:rPr>
            <w:sz w:val="20"/>
            <w:color w:val="0000ff"/>
          </w:rPr>
          <w:t xml:space="preserve">абзацем вторым подпункта 1.2.1 пункта 1.2</w:t>
        </w:r>
      </w:hyperlink>
      <w:r>
        <w:rPr>
          <w:sz w:val="20"/>
        </w:rPr>
        <w:t xml:space="preserve"> Порядка) за фактически отработанное гражданином время исходя из размеров, установленных таблицей 1.</w:t>
      </w:r>
    </w:p>
    <w:p>
      <w:pPr>
        <w:pStyle w:val="0"/>
        <w:jc w:val="both"/>
      </w:pPr>
      <w:r>
        <w:rPr>
          <w:sz w:val="20"/>
        </w:rPr>
      </w:r>
    </w:p>
    <w:p>
      <w:pPr>
        <w:pStyle w:val="0"/>
        <w:jc w:val="right"/>
      </w:pPr>
      <w:r>
        <w:rPr>
          <w:sz w:val="20"/>
        </w:rPr>
        <w:t xml:space="preserve">Таблица 1</w:t>
      </w:r>
    </w:p>
    <w:p>
      <w:pPr>
        <w:pStyle w:val="0"/>
        <w:jc w:val="both"/>
      </w:pPr>
      <w:r>
        <w:rPr>
          <w:sz w:val="20"/>
        </w:rPr>
      </w:r>
    </w:p>
    <w:bookmarkStart w:id="2497" w:name="P2497"/>
    <w:bookmarkEnd w:id="2497"/>
    <w:p>
      <w:pPr>
        <w:pStyle w:val="0"/>
        <w:jc w:val="center"/>
      </w:pPr>
      <w:r>
        <w:rPr>
          <w:sz w:val="20"/>
        </w:rPr>
        <w:t xml:space="preserve">Размеры компенсации по оплате труда и материальной</w:t>
      </w:r>
    </w:p>
    <w:p>
      <w:pPr>
        <w:pStyle w:val="0"/>
        <w:jc w:val="center"/>
      </w:pPr>
      <w:r>
        <w:rPr>
          <w:sz w:val="20"/>
        </w:rPr>
        <w:t xml:space="preserve">поддержки, выплачиваемых при реализации мероприятий</w:t>
      </w:r>
    </w:p>
    <w:p>
      <w:pPr>
        <w:pStyle w:val="0"/>
        <w:jc w:val="center"/>
      </w:pPr>
      <w:r>
        <w:rPr>
          <w:sz w:val="20"/>
        </w:rPr>
        <w:t xml:space="preserve">временного и постоянного трудоустройства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531"/>
        <w:gridCol w:w="1531"/>
        <w:gridCol w:w="1531"/>
        <w:gridCol w:w="1587"/>
        <w:gridCol w:w="1474"/>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мероприятия</w:t>
            </w:r>
          </w:p>
        </w:tc>
        <w:tc>
          <w:tcPr>
            <w:tcW w:w="1531" w:type="dxa"/>
            <w:vMerge w:val="restart"/>
          </w:tcPr>
          <w:p>
            <w:pPr>
              <w:pStyle w:val="0"/>
              <w:jc w:val="center"/>
            </w:pPr>
            <w:r>
              <w:rPr>
                <w:sz w:val="20"/>
              </w:rPr>
              <w:t xml:space="preserve">Виды государственной поддержки</w:t>
            </w:r>
          </w:p>
        </w:tc>
        <w:tc>
          <w:tcPr>
            <w:gridSpan w:val="4"/>
            <w:tcW w:w="6123" w:type="dxa"/>
          </w:tcPr>
          <w:p>
            <w:pPr>
              <w:pStyle w:val="0"/>
              <w:jc w:val="center"/>
            </w:pPr>
            <w:r>
              <w:rPr>
                <w:sz w:val="20"/>
              </w:rPr>
              <w:t xml:space="preserve">Нормативы затрат на ежемесячное содержание штатной единицы, рублей</w:t>
            </w:r>
          </w:p>
        </w:tc>
      </w:tr>
      <w:tr>
        <w:tc>
          <w:tcPr>
            <w:vMerge w:val="continue"/>
          </w:tcPr>
          <w:p/>
        </w:tc>
        <w:tc>
          <w:tcPr>
            <w:vMerge w:val="continue"/>
          </w:tcPr>
          <w:p/>
        </w:tc>
        <w:tc>
          <w:tcPr>
            <w:vMerge w:val="continue"/>
          </w:tcPr>
          <w:p/>
        </w:tc>
        <w:tc>
          <w:tcPr>
            <w:gridSpan w:val="4"/>
            <w:tcW w:w="6123" w:type="dxa"/>
          </w:tcPr>
          <w:p>
            <w:pPr>
              <w:pStyle w:val="0"/>
              <w:jc w:val="center"/>
            </w:pPr>
            <w:r>
              <w:rPr>
                <w:sz w:val="20"/>
              </w:rPr>
              <w:t xml:space="preserve">в том числе по годам</w:t>
            </w:r>
          </w:p>
        </w:tc>
      </w:tr>
      <w:tr>
        <w:tc>
          <w:tcPr>
            <w:vMerge w:val="continue"/>
          </w:tcPr>
          <w:p/>
        </w:tc>
        <w:tc>
          <w:tcPr>
            <w:vMerge w:val="continue"/>
          </w:tcPr>
          <w:p/>
        </w:tc>
        <w:tc>
          <w:tcPr>
            <w:vMerge w:val="continue"/>
          </w:tcPr>
          <w:p/>
        </w:tc>
        <w:tc>
          <w:tcPr>
            <w:tcW w:w="1531" w:type="dxa"/>
          </w:tcPr>
          <w:p>
            <w:pPr>
              <w:pStyle w:val="0"/>
              <w:jc w:val="center"/>
            </w:pPr>
            <w:r>
              <w:rPr>
                <w:sz w:val="20"/>
              </w:rPr>
              <w:t xml:space="preserve">2022 год</w:t>
            </w:r>
          </w:p>
        </w:tc>
        <w:tc>
          <w:tcPr>
            <w:tcW w:w="1531"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474" w:type="dxa"/>
          </w:tcPr>
          <w:p>
            <w:pPr>
              <w:pStyle w:val="0"/>
              <w:jc w:val="center"/>
            </w:pPr>
            <w:r>
              <w:rPr>
                <w:sz w:val="20"/>
              </w:rPr>
              <w:t xml:space="preserve">2025 - 2030 годы</w:t>
            </w:r>
          </w:p>
        </w:tc>
      </w:tr>
      <w:tr>
        <w:tc>
          <w:tcPr>
            <w:tcW w:w="567" w:type="dxa"/>
          </w:tcPr>
          <w:p>
            <w:pPr>
              <w:pStyle w:val="0"/>
              <w:jc w:val="center"/>
            </w:pPr>
            <w:r>
              <w:rPr>
                <w:sz w:val="20"/>
              </w:rPr>
              <w:t xml:space="preserve">1</w:t>
            </w:r>
          </w:p>
        </w:tc>
        <w:tc>
          <w:tcPr>
            <w:tcW w:w="2835" w:type="dxa"/>
          </w:tcPr>
          <w:p>
            <w:pPr>
              <w:pStyle w:val="0"/>
              <w:jc w:val="center"/>
            </w:pPr>
            <w:r>
              <w:rPr>
                <w:sz w:val="20"/>
              </w:rPr>
              <w:t xml:space="preserve">2</w:t>
            </w:r>
          </w:p>
        </w:tc>
        <w:tc>
          <w:tcPr>
            <w:tcW w:w="1531" w:type="dxa"/>
          </w:tcPr>
          <w:p>
            <w:pPr>
              <w:pStyle w:val="0"/>
              <w:jc w:val="center"/>
            </w:pPr>
            <w:r>
              <w:rPr>
                <w:sz w:val="20"/>
              </w:rPr>
              <w:t xml:space="preserve">3</w:t>
            </w:r>
          </w:p>
        </w:tc>
        <w:tc>
          <w:tcPr>
            <w:tcW w:w="1531" w:type="dxa"/>
          </w:tcPr>
          <w:p>
            <w:pPr>
              <w:pStyle w:val="0"/>
              <w:jc w:val="center"/>
            </w:pPr>
            <w:r>
              <w:rPr>
                <w:sz w:val="20"/>
              </w:rPr>
              <w:t xml:space="preserve">4</w:t>
            </w:r>
          </w:p>
        </w:tc>
        <w:tc>
          <w:tcPr>
            <w:tcW w:w="1531" w:type="dxa"/>
          </w:tcPr>
          <w:p>
            <w:pPr>
              <w:pStyle w:val="0"/>
              <w:jc w:val="center"/>
            </w:pPr>
            <w:r>
              <w:rPr>
                <w:sz w:val="20"/>
              </w:rPr>
              <w:t xml:space="preserve">5</w:t>
            </w:r>
          </w:p>
        </w:tc>
        <w:tc>
          <w:tcPr>
            <w:tcW w:w="1587" w:type="dxa"/>
          </w:tcPr>
          <w:p>
            <w:pPr>
              <w:pStyle w:val="0"/>
              <w:jc w:val="center"/>
            </w:pPr>
            <w:r>
              <w:rPr>
                <w:sz w:val="20"/>
              </w:rPr>
              <w:t xml:space="preserve">6</w:t>
            </w:r>
          </w:p>
        </w:tc>
        <w:tc>
          <w:tcPr>
            <w:tcW w:w="1474" w:type="dxa"/>
          </w:tcPr>
          <w:p>
            <w:pPr>
              <w:pStyle w:val="0"/>
              <w:jc w:val="center"/>
            </w:pPr>
            <w:r>
              <w:rPr>
                <w:sz w:val="20"/>
              </w:rPr>
              <w:t xml:space="preserve">7</w:t>
            </w:r>
          </w:p>
        </w:tc>
      </w:tr>
      <w:tr>
        <w:tc>
          <w:tcPr>
            <w:tcW w:w="567" w:type="dxa"/>
            <w:tcBorders>
              <w:bottom w:val="nil"/>
            </w:tcBorders>
            <w:vMerge w:val="restart"/>
          </w:tcPr>
          <w:p>
            <w:pPr>
              <w:pStyle w:val="0"/>
            </w:pPr>
            <w:r>
              <w:rPr>
                <w:sz w:val="20"/>
              </w:rPr>
              <w:t xml:space="preserve">1.</w:t>
            </w:r>
          </w:p>
        </w:tc>
        <w:tc>
          <w:tcPr>
            <w:tcW w:w="2835" w:type="dxa"/>
            <w:vMerge w:val="restart"/>
          </w:tcPr>
          <w:p>
            <w:pPr>
              <w:pStyle w:val="0"/>
            </w:pPr>
            <w:r>
              <w:rPr>
                <w:sz w:val="20"/>
              </w:rPr>
              <w:t xml:space="preserve">Организация временного трудоустройства граждан, испытывающих трудности в поиске работы</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15909,0 с учетом страховых взносов</w:t>
            </w:r>
          </w:p>
        </w:tc>
        <w:tc>
          <w:tcPr>
            <w:tcW w:w="1474" w:type="dxa"/>
          </w:tcPr>
          <w:p>
            <w:pPr>
              <w:pStyle w:val="0"/>
            </w:pPr>
            <w:r>
              <w:rPr>
                <w:sz w:val="20"/>
              </w:rPr>
              <w:t xml:space="preserve">не более 15909,0 с учетом страховых взносов</w:t>
            </w:r>
          </w:p>
        </w:tc>
      </w:tr>
      <w:tr>
        <w:tc>
          <w:tcPr>
            <w:tcBorders>
              <w:bottom w:val="nil"/>
            </w:tcBorders>
            <w:vMerge w:val="continue"/>
          </w:tcPr>
          <w:p/>
        </w:tc>
        <w:tc>
          <w:tcPr>
            <w:vMerge w:val="continue"/>
          </w:tcPr>
          <w:p/>
        </w:tc>
        <w:tc>
          <w:tcPr>
            <w:tcW w:w="1531" w:type="dxa"/>
          </w:tcPr>
          <w:p>
            <w:pPr>
              <w:pStyle w:val="0"/>
            </w:pPr>
            <w:r>
              <w:rPr>
                <w:sz w:val="20"/>
              </w:rPr>
              <w:t xml:space="preserve">материальная поддержка</w:t>
            </w:r>
          </w:p>
        </w:tc>
        <w:tc>
          <w:tcPr>
            <w:tcW w:w="1531" w:type="dxa"/>
          </w:tcPr>
          <w:p>
            <w:pPr>
              <w:pStyle w:val="0"/>
            </w:pPr>
            <w:r>
              <w:rPr>
                <w:sz w:val="20"/>
              </w:rPr>
              <w:t xml:space="preserve">ежемесячно 1275,0</w:t>
            </w:r>
          </w:p>
        </w:tc>
        <w:tc>
          <w:tcPr>
            <w:tcW w:w="1531" w:type="dxa"/>
          </w:tcPr>
          <w:p>
            <w:pPr>
              <w:pStyle w:val="0"/>
            </w:pPr>
            <w:r>
              <w:rPr>
                <w:sz w:val="20"/>
              </w:rPr>
              <w:t xml:space="preserve">ежемесячно 1275,0</w:t>
            </w:r>
          </w:p>
        </w:tc>
        <w:tc>
          <w:tcPr>
            <w:tcW w:w="1587" w:type="dxa"/>
          </w:tcPr>
          <w:p>
            <w:pPr>
              <w:pStyle w:val="0"/>
            </w:pPr>
            <w:r>
              <w:rPr>
                <w:sz w:val="20"/>
              </w:rPr>
              <w:t xml:space="preserve">ежемесячно 1275,0</w:t>
            </w:r>
          </w:p>
        </w:tc>
        <w:tc>
          <w:tcPr>
            <w:tcW w:w="1474" w:type="dxa"/>
          </w:tcPr>
          <w:p>
            <w:pPr>
              <w:pStyle w:val="0"/>
            </w:pPr>
            <w:r>
              <w:rPr>
                <w:sz w:val="20"/>
              </w:rPr>
              <w:t xml:space="preserve">ежемесячно 1275,0</w:t>
            </w:r>
          </w:p>
        </w:tc>
      </w:tr>
      <w:tr>
        <w:tblPrEx>
          <w:tblBorders>
            <w:insideH w:val="nil"/>
          </w:tblBorders>
        </w:tblPrEx>
        <w:tc>
          <w:tcPr>
            <w:tcBorders>
              <w:bottom w:val="nil"/>
            </w:tcBorders>
            <w:vMerge w:val="continue"/>
          </w:tcPr>
          <w:p/>
        </w:tc>
        <w:tc>
          <w:tcPr>
            <w:tcW w:w="2835" w:type="dxa"/>
            <w:tcBorders>
              <w:bottom w:val="nil"/>
            </w:tcBorders>
          </w:tcPr>
          <w:p>
            <w:pPr>
              <w:pStyle w:val="0"/>
            </w:pPr>
            <w:r>
              <w:rPr>
                <w:sz w:val="20"/>
              </w:rPr>
              <w:t xml:space="preserve">Период участия, месяцы</w:t>
            </w:r>
          </w:p>
        </w:tc>
        <w:tc>
          <w:tcPr>
            <w:tcW w:w="1531" w:type="dxa"/>
            <w:tcBorders>
              <w:bottom w:val="nil"/>
            </w:tcBorders>
          </w:tcPr>
          <w:p>
            <w:pPr>
              <w:pStyle w:val="0"/>
            </w:pPr>
            <w:r>
              <w:rPr>
                <w:sz w:val="20"/>
              </w:rPr>
            </w:r>
          </w:p>
        </w:tc>
        <w:tc>
          <w:tcPr>
            <w:tcW w:w="1531" w:type="dxa"/>
            <w:tcBorders>
              <w:bottom w:val="nil"/>
            </w:tcBorders>
          </w:tcPr>
          <w:p>
            <w:pPr>
              <w:pStyle w:val="0"/>
            </w:pPr>
            <w:r>
              <w:rPr>
                <w:sz w:val="20"/>
              </w:rPr>
              <w:t xml:space="preserve">3</w:t>
            </w:r>
          </w:p>
        </w:tc>
        <w:tc>
          <w:tcPr>
            <w:tcW w:w="1531" w:type="dxa"/>
            <w:tcBorders>
              <w:bottom w:val="nil"/>
            </w:tcBorders>
          </w:tcPr>
          <w:p>
            <w:pPr>
              <w:pStyle w:val="0"/>
            </w:pPr>
            <w:r>
              <w:rPr>
                <w:sz w:val="20"/>
              </w:rPr>
              <w:t xml:space="preserve">3</w:t>
            </w:r>
          </w:p>
        </w:tc>
        <w:tc>
          <w:tcPr>
            <w:tcW w:w="1587" w:type="dxa"/>
            <w:tcBorders>
              <w:bottom w:val="nil"/>
            </w:tcBorders>
          </w:tcPr>
          <w:p>
            <w:pPr>
              <w:pStyle w:val="0"/>
            </w:pPr>
            <w:r>
              <w:rPr>
                <w:sz w:val="20"/>
              </w:rPr>
              <w:t xml:space="preserve">3</w:t>
            </w:r>
          </w:p>
        </w:tc>
        <w:tc>
          <w:tcPr>
            <w:tcW w:w="1474" w:type="dxa"/>
            <w:tcBorders>
              <w:bottom w:val="nil"/>
            </w:tcBorders>
          </w:tcPr>
          <w:p>
            <w:pPr>
              <w:pStyle w:val="0"/>
            </w:pPr>
            <w:r>
              <w:rPr>
                <w:sz w:val="20"/>
              </w:rPr>
              <w:t xml:space="preserve">3</w:t>
            </w:r>
          </w:p>
        </w:tc>
      </w:tr>
      <w:tr>
        <w:tblPrEx>
          <w:tblBorders>
            <w:insideH w:val="nil"/>
          </w:tblBorders>
        </w:tblPrEx>
        <w:tc>
          <w:tcPr>
            <w:gridSpan w:val="7"/>
            <w:tcW w:w="11056" w:type="dxa"/>
            <w:tcBorders>
              <w:top w:val="nil"/>
            </w:tcBorders>
          </w:tcPr>
          <w:p>
            <w:pPr>
              <w:pStyle w:val="0"/>
              <w:jc w:val="both"/>
            </w:pPr>
            <w:r>
              <w:rPr>
                <w:sz w:val="20"/>
              </w:rPr>
              <w:t xml:space="preserve">(в ред. </w:t>
            </w:r>
            <w:hyperlink w:history="0" r:id="rId280"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tc>
      </w:tr>
      <w:tr>
        <w:tc>
          <w:tcPr>
            <w:tcW w:w="567" w:type="dxa"/>
            <w:vMerge w:val="restart"/>
          </w:tcPr>
          <w:p>
            <w:pPr>
              <w:pStyle w:val="0"/>
            </w:pPr>
            <w:r>
              <w:rPr>
                <w:sz w:val="20"/>
              </w:rPr>
              <w:t xml:space="preserve">2.</w:t>
            </w:r>
          </w:p>
        </w:tc>
        <w:tc>
          <w:tcPr>
            <w:tcW w:w="2835" w:type="dxa"/>
          </w:tcPr>
          <w:p>
            <w:pPr>
              <w:pStyle w:val="0"/>
            </w:pPr>
            <w:r>
              <w:rPr>
                <w:sz w:val="20"/>
              </w:rPr>
              <w:t xml:space="preserve">Организация проведения оплачиваемых общественных работ для не занятых трудовой деятельностью и безработных граждан (для муниципальных образований, не отнесенных к территориям с высокой напряженностью на рынке труда):</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r>
      <w:tr>
        <w:tc>
          <w:tcPr>
            <w:vMerge w:val="continue"/>
          </w:tcPr>
          <w:p/>
        </w:tc>
        <w:tc>
          <w:tcPr>
            <w:tcW w:w="2835" w:type="dxa"/>
          </w:tcPr>
          <w:p>
            <w:pPr>
              <w:pStyle w:val="0"/>
            </w:pPr>
            <w:r>
              <w:rPr>
                <w:sz w:val="20"/>
              </w:rPr>
              <w:t xml:space="preserve">не занятые трудовой деятельностью граждане</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8430,0 с учетом страховых взносов</w:t>
            </w:r>
          </w:p>
        </w:tc>
        <w:tc>
          <w:tcPr>
            <w:tcW w:w="1474" w:type="dxa"/>
          </w:tcPr>
          <w:p>
            <w:pPr>
              <w:pStyle w:val="0"/>
            </w:pPr>
            <w:r>
              <w:rPr>
                <w:sz w:val="20"/>
              </w:rPr>
              <w:t xml:space="preserve">не более 8430,0 с учетом страховых взносов</w:t>
            </w:r>
          </w:p>
        </w:tc>
      </w:tr>
      <w:tr>
        <w:tc>
          <w:tcPr>
            <w:vMerge w:val="continue"/>
          </w:tcPr>
          <w:p/>
        </w:tc>
        <w:tc>
          <w:tcPr>
            <w:tcW w:w="2835" w:type="dxa"/>
          </w:tcPr>
          <w:p>
            <w:pPr>
              <w:pStyle w:val="0"/>
            </w:pPr>
            <w:r>
              <w:rPr>
                <w:sz w:val="20"/>
              </w:rPr>
              <w:t xml:space="preserve">безработные граждане</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8430,0 с учетом страховых взносов</w:t>
            </w:r>
          </w:p>
        </w:tc>
        <w:tc>
          <w:tcPr>
            <w:tcW w:w="1474" w:type="dxa"/>
          </w:tcPr>
          <w:p>
            <w:pPr>
              <w:pStyle w:val="0"/>
            </w:pPr>
            <w:r>
              <w:rPr>
                <w:sz w:val="20"/>
              </w:rPr>
              <w:t xml:space="preserve">не более 8430,0 с учетом страховых взносов</w:t>
            </w:r>
          </w:p>
        </w:tc>
      </w:tr>
      <w:tr>
        <w:tc>
          <w:tcPr>
            <w:vMerge w:val="continue"/>
          </w:tcPr>
          <w:p/>
        </w:tc>
        <w:tc>
          <w:tcPr>
            <w:tcW w:w="2835" w:type="dxa"/>
          </w:tcPr>
          <w:p>
            <w:pPr>
              <w:pStyle w:val="0"/>
            </w:pPr>
            <w:r>
              <w:rPr>
                <w:sz w:val="20"/>
              </w:rPr>
            </w:r>
          </w:p>
        </w:tc>
        <w:tc>
          <w:tcPr>
            <w:tcW w:w="1531" w:type="dxa"/>
          </w:tcPr>
          <w:p>
            <w:pPr>
              <w:pStyle w:val="0"/>
            </w:pPr>
            <w:r>
              <w:rPr>
                <w:sz w:val="20"/>
              </w:rPr>
              <w:t xml:space="preserve">материальная поддержка</w:t>
            </w:r>
          </w:p>
        </w:tc>
        <w:tc>
          <w:tcPr>
            <w:tcW w:w="1531" w:type="dxa"/>
          </w:tcPr>
          <w:p>
            <w:pPr>
              <w:pStyle w:val="0"/>
            </w:pPr>
            <w:r>
              <w:rPr>
                <w:sz w:val="20"/>
              </w:rPr>
              <w:t xml:space="preserve">ежемесячно 1275,0</w:t>
            </w:r>
          </w:p>
        </w:tc>
        <w:tc>
          <w:tcPr>
            <w:tcW w:w="1531" w:type="dxa"/>
          </w:tcPr>
          <w:p>
            <w:pPr>
              <w:pStyle w:val="0"/>
            </w:pPr>
            <w:r>
              <w:rPr>
                <w:sz w:val="20"/>
              </w:rPr>
              <w:t xml:space="preserve">ежемесячно 1275,0</w:t>
            </w:r>
          </w:p>
        </w:tc>
        <w:tc>
          <w:tcPr>
            <w:tcW w:w="1587" w:type="dxa"/>
          </w:tcPr>
          <w:p>
            <w:pPr>
              <w:pStyle w:val="0"/>
            </w:pPr>
            <w:r>
              <w:rPr>
                <w:sz w:val="20"/>
              </w:rPr>
              <w:t xml:space="preserve">ежемесячно 1275,0</w:t>
            </w:r>
          </w:p>
        </w:tc>
        <w:tc>
          <w:tcPr>
            <w:tcW w:w="1474" w:type="dxa"/>
          </w:tcPr>
          <w:p>
            <w:pPr>
              <w:pStyle w:val="0"/>
            </w:pPr>
            <w:r>
              <w:rPr>
                <w:sz w:val="20"/>
              </w:rPr>
              <w:t xml:space="preserve">ежемесячно 1275,0</w:t>
            </w:r>
          </w:p>
        </w:tc>
      </w:tr>
      <w:tr>
        <w:tc>
          <w:tcPr>
            <w:vMerge w:val="continue"/>
          </w:tcPr>
          <w:p/>
        </w:tc>
        <w:tc>
          <w:tcPr>
            <w:tcW w:w="2835" w:type="dxa"/>
          </w:tcPr>
          <w:p>
            <w:pPr>
              <w:pStyle w:val="0"/>
            </w:pPr>
            <w:r>
              <w:rPr>
                <w:sz w:val="20"/>
              </w:rPr>
              <w:t xml:space="preserve">Организация проведения оплачиваемых общественных работ для не занятых трудовой деятельностью и безработных граждан (в территориях с высокой напряженностью на рынке труда):</w:t>
            </w:r>
          </w:p>
        </w:tc>
        <w:tc>
          <w:tcPr>
            <w:tcW w:w="1531" w:type="dxa"/>
          </w:tcPr>
          <w:p>
            <w:pPr>
              <w:pStyle w:val="0"/>
            </w:pPr>
            <w:r>
              <w:rPr>
                <w:sz w:val="20"/>
              </w:rPr>
            </w:r>
          </w:p>
        </w:tc>
        <w:tc>
          <w:tcPr>
            <w:tcW w:w="1531" w:type="dxa"/>
          </w:tcPr>
          <w:p>
            <w:pPr>
              <w:pStyle w:val="0"/>
            </w:pPr>
            <w:r>
              <w:rPr>
                <w:sz w:val="20"/>
              </w:rPr>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r>
      <w:tr>
        <w:tc>
          <w:tcPr>
            <w:vMerge w:val="continue"/>
          </w:tcPr>
          <w:p/>
        </w:tc>
        <w:tc>
          <w:tcPr>
            <w:tcW w:w="2835" w:type="dxa"/>
          </w:tcPr>
          <w:p>
            <w:pPr>
              <w:pStyle w:val="0"/>
            </w:pPr>
            <w:r>
              <w:rPr>
                <w:sz w:val="20"/>
              </w:rPr>
              <w:t xml:space="preserve">не занятые трудовой деятельностью граждане</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2835" w:type="dxa"/>
            <w:vMerge w:val="restart"/>
          </w:tcPr>
          <w:p>
            <w:pPr>
              <w:pStyle w:val="0"/>
            </w:pPr>
            <w:r>
              <w:rPr>
                <w:sz w:val="20"/>
              </w:rPr>
              <w:t xml:space="preserve">безработные граждане</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vMerge w:val="continue"/>
          </w:tcPr>
          <w:p/>
        </w:tc>
        <w:tc>
          <w:tcPr>
            <w:tcW w:w="1531" w:type="dxa"/>
          </w:tcPr>
          <w:p>
            <w:pPr>
              <w:pStyle w:val="0"/>
            </w:pPr>
            <w:r>
              <w:rPr>
                <w:sz w:val="20"/>
              </w:rPr>
              <w:t xml:space="preserve">материальная поддержка</w:t>
            </w:r>
          </w:p>
        </w:tc>
        <w:tc>
          <w:tcPr>
            <w:tcW w:w="1531" w:type="dxa"/>
          </w:tcPr>
          <w:p>
            <w:pPr>
              <w:pStyle w:val="0"/>
            </w:pPr>
            <w:r>
              <w:rPr>
                <w:sz w:val="20"/>
              </w:rPr>
              <w:t xml:space="preserve">ежемесячно 1275,0</w:t>
            </w:r>
          </w:p>
        </w:tc>
        <w:tc>
          <w:tcPr>
            <w:tcW w:w="1531" w:type="dxa"/>
          </w:tcPr>
          <w:p>
            <w:pPr>
              <w:pStyle w:val="0"/>
            </w:pPr>
            <w:r>
              <w:rPr>
                <w:sz w:val="20"/>
              </w:rPr>
              <w:t xml:space="preserve">ежемесячно 1275,0</w:t>
            </w:r>
          </w:p>
        </w:tc>
        <w:tc>
          <w:tcPr>
            <w:tcW w:w="1587" w:type="dxa"/>
          </w:tcPr>
          <w:p>
            <w:pPr>
              <w:pStyle w:val="0"/>
            </w:pPr>
            <w:r>
              <w:rPr>
                <w:sz w:val="20"/>
              </w:rPr>
              <w:t xml:space="preserve">ежемесячно 1275,0</w:t>
            </w:r>
          </w:p>
        </w:tc>
        <w:tc>
          <w:tcPr>
            <w:tcW w:w="1474" w:type="dxa"/>
          </w:tcPr>
          <w:p>
            <w:pPr>
              <w:pStyle w:val="0"/>
            </w:pPr>
            <w:r>
              <w:rPr>
                <w:sz w:val="20"/>
              </w:rPr>
              <w:t xml:space="preserve">ежемесячно 1275,0</w:t>
            </w:r>
          </w:p>
        </w:tc>
      </w:tr>
      <w:tr>
        <w:tc>
          <w:tcPr>
            <w:vMerge w:val="continue"/>
          </w:tcP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2</w:t>
            </w:r>
          </w:p>
        </w:tc>
        <w:tc>
          <w:tcPr>
            <w:tcW w:w="1531" w:type="dxa"/>
          </w:tcPr>
          <w:p>
            <w:pPr>
              <w:pStyle w:val="0"/>
            </w:pPr>
            <w:r>
              <w:rPr>
                <w:sz w:val="20"/>
              </w:rPr>
              <w:t xml:space="preserve">2</w:t>
            </w:r>
          </w:p>
        </w:tc>
        <w:tc>
          <w:tcPr>
            <w:tcW w:w="1587" w:type="dxa"/>
          </w:tcPr>
          <w:p>
            <w:pPr>
              <w:pStyle w:val="0"/>
            </w:pPr>
            <w:r>
              <w:rPr>
                <w:sz w:val="20"/>
              </w:rPr>
              <w:t xml:space="preserve">2</w:t>
            </w:r>
          </w:p>
        </w:tc>
        <w:tc>
          <w:tcPr>
            <w:tcW w:w="1474" w:type="dxa"/>
          </w:tcPr>
          <w:p>
            <w:pPr>
              <w:pStyle w:val="0"/>
            </w:pPr>
            <w:r>
              <w:rPr>
                <w:sz w:val="20"/>
              </w:rPr>
              <w:t xml:space="preserve">2</w:t>
            </w:r>
          </w:p>
        </w:tc>
      </w:tr>
      <w:tr>
        <w:tc>
          <w:tcPr>
            <w:tcW w:w="567" w:type="dxa"/>
            <w:vMerge w:val="restart"/>
          </w:tcPr>
          <w:p>
            <w:pPr>
              <w:pStyle w:val="0"/>
            </w:pPr>
            <w:r>
              <w:rPr>
                <w:sz w:val="20"/>
              </w:rPr>
              <w:t xml:space="preserve">3.</w:t>
            </w:r>
          </w:p>
        </w:tc>
        <w:tc>
          <w:tcPr>
            <w:tcW w:w="2835" w:type="dxa"/>
          </w:tcPr>
          <w:p>
            <w:pPr>
              <w:pStyle w:val="0"/>
            </w:pPr>
            <w:r>
              <w:rPr>
                <w:sz w:val="20"/>
              </w:rPr>
              <w:t xml:space="preserve">Организация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в целях поиска подходящей работы</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2</w:t>
            </w:r>
          </w:p>
        </w:tc>
        <w:tc>
          <w:tcPr>
            <w:tcW w:w="1531" w:type="dxa"/>
          </w:tcPr>
          <w:p>
            <w:pPr>
              <w:pStyle w:val="0"/>
            </w:pPr>
            <w:r>
              <w:rPr>
                <w:sz w:val="20"/>
              </w:rPr>
              <w:t xml:space="preserve">2</w:t>
            </w:r>
          </w:p>
        </w:tc>
        <w:tc>
          <w:tcPr>
            <w:tcW w:w="1587" w:type="dxa"/>
          </w:tcPr>
          <w:p>
            <w:pPr>
              <w:pStyle w:val="0"/>
            </w:pPr>
            <w:r>
              <w:rPr>
                <w:sz w:val="20"/>
              </w:rPr>
              <w:t xml:space="preserve">2</w:t>
            </w:r>
          </w:p>
        </w:tc>
        <w:tc>
          <w:tcPr>
            <w:tcW w:w="1474" w:type="dxa"/>
          </w:tcPr>
          <w:p>
            <w:pPr>
              <w:pStyle w:val="0"/>
            </w:pPr>
            <w:r>
              <w:rPr>
                <w:sz w:val="20"/>
              </w:rPr>
              <w:t xml:space="preserve">2</w:t>
            </w:r>
          </w:p>
        </w:tc>
      </w:tr>
      <w:tr>
        <w:tc>
          <w:tcPr>
            <w:tcW w:w="567" w:type="dxa"/>
            <w:vMerge w:val="restart"/>
          </w:tcPr>
          <w:p>
            <w:pPr>
              <w:pStyle w:val="0"/>
            </w:pPr>
            <w:r>
              <w:rPr>
                <w:sz w:val="20"/>
              </w:rPr>
              <w:t xml:space="preserve">4.</w:t>
            </w:r>
          </w:p>
        </w:tc>
        <w:tc>
          <w:tcPr>
            <w:tcW w:w="2835" w:type="dxa"/>
          </w:tcPr>
          <w:p>
            <w:pPr>
              <w:pStyle w:val="0"/>
            </w:pPr>
            <w:r>
              <w:rPr>
                <w:sz w:val="20"/>
              </w:rPr>
              <w:t xml:space="preserve">Организация временного трудоустройства граждан предпенсионного и пенсионного возраста</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7955,0 с учетом страховых взносов</w:t>
            </w:r>
          </w:p>
        </w:tc>
        <w:tc>
          <w:tcPr>
            <w:tcW w:w="1474" w:type="dxa"/>
          </w:tcPr>
          <w:p>
            <w:pPr>
              <w:pStyle w:val="0"/>
            </w:pPr>
            <w:r>
              <w:rPr>
                <w:sz w:val="20"/>
              </w:rPr>
              <w:t xml:space="preserve">не более 7955,0 с учетом страховых взносов</w:t>
            </w:r>
          </w:p>
        </w:tc>
      </w:tr>
      <w:tr>
        <w:tc>
          <w:tcPr>
            <w:vMerge w:val="continue"/>
          </w:tcP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2</w:t>
            </w:r>
          </w:p>
        </w:tc>
        <w:tc>
          <w:tcPr>
            <w:tcW w:w="1531" w:type="dxa"/>
          </w:tcPr>
          <w:p>
            <w:pPr>
              <w:pStyle w:val="0"/>
            </w:pPr>
            <w:r>
              <w:rPr>
                <w:sz w:val="20"/>
              </w:rPr>
              <w:t xml:space="preserve">2</w:t>
            </w:r>
          </w:p>
        </w:tc>
        <w:tc>
          <w:tcPr>
            <w:tcW w:w="1587" w:type="dxa"/>
          </w:tcPr>
          <w:p>
            <w:pPr>
              <w:pStyle w:val="0"/>
            </w:pPr>
            <w:r>
              <w:rPr>
                <w:sz w:val="20"/>
              </w:rPr>
              <w:t xml:space="preserve">2</w:t>
            </w:r>
          </w:p>
        </w:tc>
        <w:tc>
          <w:tcPr>
            <w:tcW w:w="1474" w:type="dxa"/>
          </w:tcPr>
          <w:p>
            <w:pPr>
              <w:pStyle w:val="0"/>
            </w:pPr>
            <w:r>
              <w:rPr>
                <w:sz w:val="20"/>
              </w:rPr>
              <w:t xml:space="preserve">2</w:t>
            </w:r>
          </w:p>
        </w:tc>
      </w:tr>
      <w:tr>
        <w:tc>
          <w:tcPr>
            <w:tcW w:w="567" w:type="dxa"/>
            <w:vMerge w:val="restart"/>
          </w:tcPr>
          <w:p>
            <w:pPr>
              <w:pStyle w:val="0"/>
            </w:pPr>
            <w:r>
              <w:rPr>
                <w:sz w:val="20"/>
              </w:rPr>
              <w:t xml:space="preserve">5.</w:t>
            </w:r>
          </w:p>
        </w:tc>
        <w:tc>
          <w:tcPr>
            <w:tcW w:w="2835" w:type="dxa"/>
          </w:tcPr>
          <w:p>
            <w:pPr>
              <w:pStyle w:val="0"/>
            </w:pPr>
            <w:r>
              <w:rPr>
                <w:sz w:val="20"/>
              </w:rPr>
              <w:t xml:space="preserve">Содействие временному трудоустройству лиц, осужденных к наказанию в виде исправительных работ, не имеющих основного места работы</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6</w:t>
            </w:r>
          </w:p>
        </w:tc>
        <w:tc>
          <w:tcPr>
            <w:tcW w:w="1531" w:type="dxa"/>
          </w:tcPr>
          <w:p>
            <w:pPr>
              <w:pStyle w:val="0"/>
            </w:pPr>
            <w:r>
              <w:rPr>
                <w:sz w:val="20"/>
              </w:rPr>
              <w:t xml:space="preserve">6</w:t>
            </w:r>
          </w:p>
        </w:tc>
        <w:tc>
          <w:tcPr>
            <w:tcW w:w="1587" w:type="dxa"/>
          </w:tcPr>
          <w:p>
            <w:pPr>
              <w:pStyle w:val="0"/>
            </w:pPr>
            <w:r>
              <w:rPr>
                <w:sz w:val="20"/>
              </w:rPr>
              <w:t xml:space="preserve">6</w:t>
            </w:r>
          </w:p>
        </w:tc>
        <w:tc>
          <w:tcPr>
            <w:tcW w:w="1474" w:type="dxa"/>
          </w:tcPr>
          <w:p>
            <w:pPr>
              <w:pStyle w:val="0"/>
            </w:pPr>
            <w:r>
              <w:rPr>
                <w:sz w:val="20"/>
              </w:rPr>
              <w:t xml:space="preserve">6</w:t>
            </w:r>
          </w:p>
        </w:tc>
      </w:tr>
      <w:tr>
        <w:tc>
          <w:tcPr>
            <w:tcW w:w="567" w:type="dxa"/>
            <w:vMerge w:val="restart"/>
          </w:tcPr>
          <w:p>
            <w:pPr>
              <w:pStyle w:val="0"/>
            </w:pPr>
            <w:r>
              <w:rPr>
                <w:sz w:val="20"/>
              </w:rPr>
              <w:t xml:space="preserve">6.</w:t>
            </w:r>
          </w:p>
        </w:tc>
        <w:tc>
          <w:tcPr>
            <w:tcW w:w="2835" w:type="dxa"/>
          </w:tcPr>
          <w:p>
            <w:pPr>
              <w:pStyle w:val="0"/>
            </w:pPr>
            <w:r>
              <w:rPr>
                <w:sz w:val="20"/>
              </w:rPr>
              <w:t xml:space="preserve">Содействие временному трудоустройству в организациях коммерческого сегмента рынка труда лиц, освобожденных из учреждений, исполняющих наказания в виде лишения свободы</w:t>
            </w:r>
          </w:p>
        </w:tc>
        <w:tc>
          <w:tcPr>
            <w:tcW w:w="1531" w:type="dxa"/>
          </w:tcPr>
          <w:p>
            <w:pPr>
              <w:pStyle w:val="0"/>
            </w:pPr>
            <w:r>
              <w:rPr>
                <w:sz w:val="20"/>
              </w:rPr>
              <w:t xml:space="preserve">компенсация по оплате труда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11136,0 с учетом страховых взносов</w:t>
            </w:r>
          </w:p>
        </w:tc>
        <w:tc>
          <w:tcPr>
            <w:tcW w:w="1474" w:type="dxa"/>
          </w:tcPr>
          <w:p>
            <w:pPr>
              <w:pStyle w:val="0"/>
            </w:pPr>
            <w:r>
              <w:rPr>
                <w:sz w:val="20"/>
              </w:rPr>
              <w:t xml:space="preserve">не более 11136,0 с учетом страховых взносов</w:t>
            </w:r>
          </w:p>
        </w:tc>
      </w:tr>
      <w:tr>
        <w:tc>
          <w:tcPr>
            <w:vMerge w:val="continue"/>
          </w:tcP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3</w:t>
            </w:r>
          </w:p>
        </w:tc>
        <w:tc>
          <w:tcPr>
            <w:tcW w:w="1531" w:type="dxa"/>
          </w:tcPr>
          <w:p>
            <w:pPr>
              <w:pStyle w:val="0"/>
            </w:pPr>
            <w:r>
              <w:rPr>
                <w:sz w:val="20"/>
              </w:rPr>
              <w:t xml:space="preserve">3</w:t>
            </w:r>
          </w:p>
        </w:tc>
        <w:tc>
          <w:tcPr>
            <w:tcW w:w="1587" w:type="dxa"/>
          </w:tcPr>
          <w:p>
            <w:pPr>
              <w:pStyle w:val="0"/>
            </w:pPr>
            <w:r>
              <w:rPr>
                <w:sz w:val="20"/>
              </w:rPr>
              <w:t xml:space="preserve">3</w:t>
            </w:r>
          </w:p>
        </w:tc>
        <w:tc>
          <w:tcPr>
            <w:tcW w:w="1474" w:type="dxa"/>
          </w:tcPr>
          <w:p>
            <w:pPr>
              <w:pStyle w:val="0"/>
            </w:pPr>
            <w:r>
              <w:rPr>
                <w:sz w:val="20"/>
              </w:rPr>
              <w:t xml:space="preserve">3</w:t>
            </w:r>
          </w:p>
        </w:tc>
      </w:tr>
      <w:tr>
        <w:tc>
          <w:tcPr>
            <w:tcW w:w="567" w:type="dxa"/>
            <w:vMerge w:val="restart"/>
          </w:tcPr>
          <w:p>
            <w:pPr>
              <w:pStyle w:val="0"/>
            </w:pPr>
            <w:r>
              <w:rPr>
                <w:sz w:val="20"/>
              </w:rPr>
              <w:t xml:space="preserve">7.</w:t>
            </w:r>
          </w:p>
        </w:tc>
        <w:tc>
          <w:tcPr>
            <w:tcW w:w="2835" w:type="dxa"/>
            <w:vMerge w:val="restart"/>
          </w:tcPr>
          <w:p>
            <w:pPr>
              <w:pStyle w:val="0"/>
            </w:pPr>
            <w:r>
              <w:rPr>
                <w:sz w:val="20"/>
              </w:rPr>
              <w:t xml:space="preserve">Организация временного трудоустройства выпускников в возрасте от 18 до 25 лет, имеющих среднее профессиональное образование или высшее образование</w:t>
            </w:r>
          </w:p>
        </w:tc>
        <w:tc>
          <w:tcPr>
            <w:tcW w:w="1531" w:type="dxa"/>
          </w:tcPr>
          <w:p>
            <w:pPr>
              <w:pStyle w:val="0"/>
            </w:pPr>
            <w:r>
              <w:rPr>
                <w:sz w:val="20"/>
              </w:rPr>
              <w:t xml:space="preserve">компенсация по оплате труда выпускника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15909,0 с учетом страховых взносов</w:t>
            </w:r>
          </w:p>
        </w:tc>
        <w:tc>
          <w:tcPr>
            <w:tcW w:w="1474" w:type="dxa"/>
          </w:tcPr>
          <w:p>
            <w:pPr>
              <w:pStyle w:val="0"/>
            </w:pPr>
            <w:r>
              <w:rPr>
                <w:sz w:val="20"/>
              </w:rPr>
              <w:t xml:space="preserve">не более 15909,0 с учетом страховых взносов</w:t>
            </w:r>
          </w:p>
        </w:tc>
      </w:tr>
      <w:tr>
        <w:tc>
          <w:tcPr>
            <w:vMerge w:val="continue"/>
          </w:tcPr>
          <w:p/>
        </w:tc>
        <w:tc>
          <w:tcPr>
            <w:vMerge w:val="continue"/>
          </w:tcPr>
          <w:p/>
        </w:tc>
        <w:tc>
          <w:tcPr>
            <w:tcW w:w="1531" w:type="dxa"/>
          </w:tcPr>
          <w:p>
            <w:pPr>
              <w:pStyle w:val="0"/>
            </w:pPr>
            <w:r>
              <w:rPr>
                <w:sz w:val="20"/>
              </w:rPr>
              <w:t xml:space="preserve">компенсация по оплате труда наставника</w:t>
            </w:r>
          </w:p>
        </w:tc>
        <w:tc>
          <w:tcPr>
            <w:tcW w:w="1531" w:type="dxa"/>
          </w:tcPr>
          <w:p>
            <w:pPr>
              <w:pStyle w:val="0"/>
            </w:pPr>
            <w:r>
              <w:rPr>
                <w:sz w:val="20"/>
              </w:rPr>
              <w:t xml:space="preserve">не более 6140,0 с учетом страховых взносов</w:t>
            </w:r>
          </w:p>
        </w:tc>
        <w:tc>
          <w:tcPr>
            <w:tcW w:w="1531" w:type="dxa"/>
          </w:tcPr>
          <w:p>
            <w:pPr>
              <w:pStyle w:val="0"/>
            </w:pPr>
            <w:r>
              <w:rPr>
                <w:sz w:val="20"/>
              </w:rPr>
              <w:t xml:space="preserve">не более 6140,0 с учетом страховых взносов</w:t>
            </w:r>
          </w:p>
        </w:tc>
        <w:tc>
          <w:tcPr>
            <w:tcW w:w="1587" w:type="dxa"/>
          </w:tcPr>
          <w:p>
            <w:pPr>
              <w:pStyle w:val="0"/>
            </w:pPr>
            <w:r>
              <w:rPr>
                <w:sz w:val="20"/>
              </w:rPr>
              <w:t xml:space="preserve">не более 6140,0 с учетом страховых взносов</w:t>
            </w:r>
          </w:p>
        </w:tc>
        <w:tc>
          <w:tcPr>
            <w:tcW w:w="1474" w:type="dxa"/>
          </w:tcPr>
          <w:p>
            <w:pPr>
              <w:pStyle w:val="0"/>
            </w:pPr>
            <w:r>
              <w:rPr>
                <w:sz w:val="20"/>
              </w:rPr>
              <w:t xml:space="preserve">не более 6140,0 с учетом страховых взносов</w:t>
            </w:r>
          </w:p>
        </w:tc>
      </w:tr>
      <w:tr>
        <w:tc>
          <w:tcPr>
            <w:vMerge w:val="continue"/>
          </w:tcPr>
          <w:p/>
        </w:tc>
        <w:tc>
          <w:tcPr>
            <w:vMerge w:val="continue"/>
          </w:tcPr>
          <w:p/>
        </w:tc>
        <w:tc>
          <w:tcPr>
            <w:tcW w:w="1531" w:type="dxa"/>
          </w:tcPr>
          <w:p>
            <w:pPr>
              <w:pStyle w:val="0"/>
            </w:pPr>
            <w:r>
              <w:rPr>
                <w:sz w:val="20"/>
              </w:rPr>
              <w:t xml:space="preserve">материальная поддержка выпускнику</w:t>
            </w:r>
          </w:p>
        </w:tc>
        <w:tc>
          <w:tcPr>
            <w:tcW w:w="1531" w:type="dxa"/>
          </w:tcPr>
          <w:p>
            <w:pPr>
              <w:pStyle w:val="0"/>
            </w:pPr>
            <w:r>
              <w:rPr>
                <w:sz w:val="20"/>
              </w:rPr>
              <w:t xml:space="preserve">ежемесячно 2250,0</w:t>
            </w:r>
          </w:p>
        </w:tc>
        <w:tc>
          <w:tcPr>
            <w:tcW w:w="1531" w:type="dxa"/>
          </w:tcPr>
          <w:p>
            <w:pPr>
              <w:pStyle w:val="0"/>
            </w:pPr>
            <w:r>
              <w:rPr>
                <w:sz w:val="20"/>
              </w:rPr>
              <w:t xml:space="preserve">ежемесячно 2250,0</w:t>
            </w:r>
          </w:p>
        </w:tc>
        <w:tc>
          <w:tcPr>
            <w:tcW w:w="1587" w:type="dxa"/>
          </w:tcPr>
          <w:p>
            <w:pPr>
              <w:pStyle w:val="0"/>
            </w:pPr>
            <w:r>
              <w:rPr>
                <w:sz w:val="20"/>
              </w:rPr>
              <w:t xml:space="preserve">ежемесячно 2250,0</w:t>
            </w:r>
          </w:p>
        </w:tc>
        <w:tc>
          <w:tcPr>
            <w:tcW w:w="1474" w:type="dxa"/>
          </w:tcPr>
          <w:p>
            <w:pPr>
              <w:pStyle w:val="0"/>
            </w:pPr>
            <w:r>
              <w:rPr>
                <w:sz w:val="20"/>
              </w:rPr>
              <w:t xml:space="preserve">ежемесячно 2250,0</w:t>
            </w:r>
          </w:p>
        </w:tc>
      </w:tr>
      <w:tr>
        <w:tc>
          <w:tcPr>
            <w:vMerge w:val="continue"/>
          </w:tcP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5</w:t>
            </w:r>
          </w:p>
        </w:tc>
        <w:tc>
          <w:tcPr>
            <w:tcW w:w="1531" w:type="dxa"/>
          </w:tcPr>
          <w:p>
            <w:pPr>
              <w:pStyle w:val="0"/>
            </w:pPr>
            <w:r>
              <w:rPr>
                <w:sz w:val="20"/>
              </w:rPr>
              <w:t xml:space="preserve">5</w:t>
            </w:r>
          </w:p>
        </w:tc>
        <w:tc>
          <w:tcPr>
            <w:tcW w:w="1587" w:type="dxa"/>
          </w:tcPr>
          <w:p>
            <w:pPr>
              <w:pStyle w:val="0"/>
            </w:pPr>
            <w:r>
              <w:rPr>
                <w:sz w:val="20"/>
              </w:rPr>
              <w:t xml:space="preserve">5</w:t>
            </w:r>
          </w:p>
        </w:tc>
        <w:tc>
          <w:tcPr>
            <w:tcW w:w="1474" w:type="dxa"/>
          </w:tcPr>
          <w:p>
            <w:pPr>
              <w:pStyle w:val="0"/>
            </w:pPr>
            <w:r>
              <w:rPr>
                <w:sz w:val="20"/>
              </w:rPr>
              <w:t xml:space="preserve">5</w:t>
            </w:r>
          </w:p>
        </w:tc>
      </w:tr>
      <w:tr>
        <w:tc>
          <w:tcPr>
            <w:tcW w:w="567" w:type="dxa"/>
            <w:tcBorders>
              <w:bottom w:val="nil"/>
            </w:tcBorders>
            <w:vMerge w:val="restart"/>
          </w:tcPr>
          <w:p>
            <w:pPr>
              <w:pStyle w:val="0"/>
            </w:pPr>
            <w:r>
              <w:rPr>
                <w:sz w:val="20"/>
              </w:rPr>
              <w:t xml:space="preserve">8.</w:t>
            </w:r>
          </w:p>
        </w:tc>
        <w:tc>
          <w:tcPr>
            <w:tcW w:w="2835" w:type="dxa"/>
          </w:tcPr>
          <w:p>
            <w:pPr>
              <w:pStyle w:val="0"/>
            </w:pPr>
            <w:r>
              <w:rPr>
                <w:sz w:val="20"/>
              </w:rPr>
              <w:t xml:space="preserve">Организация стажировок инвалидов трудоспособного возраста, в том числе инвалидов молодого возраста и инвалидов, получивших инвалидность впервые</w:t>
            </w:r>
          </w:p>
        </w:tc>
        <w:tc>
          <w:tcPr>
            <w:tcW w:w="1531" w:type="dxa"/>
          </w:tcPr>
          <w:p>
            <w:pPr>
              <w:pStyle w:val="0"/>
            </w:pPr>
            <w:r>
              <w:rPr>
                <w:sz w:val="20"/>
              </w:rPr>
              <w:t xml:space="preserve">компенсация по оплате труда инвалида</w:t>
            </w:r>
          </w:p>
        </w:tc>
        <w:tc>
          <w:tcPr>
            <w:tcW w:w="1531" w:type="dxa"/>
          </w:tcPr>
          <w:p>
            <w:pPr>
              <w:pStyle w:val="0"/>
            </w:pPr>
            <w:r>
              <w:rPr>
                <w:sz w:val="20"/>
              </w:rPr>
              <w:t xml:space="preserve">не более 21572,0 с учетом страховых взносов</w:t>
            </w:r>
          </w:p>
        </w:tc>
        <w:tc>
          <w:tcPr>
            <w:tcW w:w="1531" w:type="dxa"/>
          </w:tcPr>
          <w:p>
            <w:pPr>
              <w:pStyle w:val="0"/>
            </w:pPr>
            <w:r>
              <w:rPr>
                <w:sz w:val="20"/>
              </w:rPr>
              <w:t xml:space="preserve">не более 21572,0 с учетом страховых взносов</w:t>
            </w:r>
          </w:p>
        </w:tc>
        <w:tc>
          <w:tcPr>
            <w:tcW w:w="1587" w:type="dxa"/>
          </w:tcPr>
          <w:p>
            <w:pPr>
              <w:pStyle w:val="0"/>
            </w:pPr>
            <w:r>
              <w:rPr>
                <w:sz w:val="20"/>
              </w:rPr>
              <w:t xml:space="preserve">не более 15909,0 с учетом страховых взносов</w:t>
            </w:r>
          </w:p>
        </w:tc>
        <w:tc>
          <w:tcPr>
            <w:tcW w:w="1474" w:type="dxa"/>
          </w:tcPr>
          <w:p>
            <w:pPr>
              <w:pStyle w:val="0"/>
            </w:pPr>
            <w:r>
              <w:rPr>
                <w:sz w:val="20"/>
              </w:rPr>
              <w:t xml:space="preserve">не более 15909,0 с учетом страховых взносов</w:t>
            </w:r>
          </w:p>
        </w:tc>
      </w:tr>
      <w:tr>
        <w:tc>
          <w:tcPr>
            <w:tcBorders>
              <w:bottom w:val="nil"/>
            </w:tcBorders>
            <w:vMerge w:val="continue"/>
          </w:tcP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6</w:t>
            </w:r>
          </w:p>
        </w:tc>
        <w:tc>
          <w:tcPr>
            <w:tcW w:w="1531" w:type="dxa"/>
          </w:tcPr>
          <w:p>
            <w:pPr>
              <w:pStyle w:val="0"/>
            </w:pPr>
            <w:r>
              <w:rPr>
                <w:sz w:val="20"/>
              </w:rPr>
              <w:t xml:space="preserve">6</w:t>
            </w:r>
          </w:p>
        </w:tc>
        <w:tc>
          <w:tcPr>
            <w:tcW w:w="1587" w:type="dxa"/>
          </w:tcPr>
          <w:p>
            <w:pPr>
              <w:pStyle w:val="0"/>
            </w:pPr>
            <w:r>
              <w:rPr>
                <w:sz w:val="20"/>
              </w:rPr>
              <w:t xml:space="preserve">6</w:t>
            </w:r>
          </w:p>
        </w:tc>
        <w:tc>
          <w:tcPr>
            <w:tcW w:w="1474" w:type="dxa"/>
          </w:tcPr>
          <w:p>
            <w:pPr>
              <w:pStyle w:val="0"/>
            </w:pPr>
            <w:r>
              <w:rPr>
                <w:sz w:val="20"/>
              </w:rPr>
              <w:t xml:space="preserve">6</w:t>
            </w:r>
          </w:p>
        </w:tc>
      </w:tr>
      <w:tr>
        <w:tc>
          <w:tcPr>
            <w:tcBorders>
              <w:bottom w:val="nil"/>
            </w:tcBorders>
            <w:vMerge w:val="continue"/>
          </w:tcPr>
          <w:p/>
        </w:tc>
        <w:tc>
          <w:tcPr>
            <w:tcW w:w="2835" w:type="dxa"/>
          </w:tcPr>
          <w:p>
            <w:pPr>
              <w:pStyle w:val="0"/>
            </w:pPr>
            <w:r>
              <w:rPr>
                <w:sz w:val="20"/>
              </w:rPr>
            </w:r>
          </w:p>
        </w:tc>
        <w:tc>
          <w:tcPr>
            <w:tcW w:w="1531" w:type="dxa"/>
          </w:tcPr>
          <w:p>
            <w:pPr>
              <w:pStyle w:val="0"/>
            </w:pPr>
            <w:r>
              <w:rPr>
                <w:sz w:val="20"/>
              </w:rPr>
              <w:t xml:space="preserve">компенсация по оплате труда наставника</w:t>
            </w:r>
          </w:p>
        </w:tc>
        <w:tc>
          <w:tcPr>
            <w:tcW w:w="1531" w:type="dxa"/>
          </w:tcPr>
          <w:p>
            <w:pPr>
              <w:pStyle w:val="0"/>
            </w:pPr>
            <w:r>
              <w:rPr>
                <w:sz w:val="20"/>
              </w:rPr>
              <w:t xml:space="preserve">не более 7365,0 с учетом страховых взносов</w:t>
            </w:r>
          </w:p>
        </w:tc>
        <w:tc>
          <w:tcPr>
            <w:tcW w:w="1531" w:type="dxa"/>
          </w:tcPr>
          <w:p>
            <w:pPr>
              <w:pStyle w:val="0"/>
            </w:pPr>
            <w:r>
              <w:rPr>
                <w:sz w:val="20"/>
              </w:rPr>
              <w:t xml:space="preserve">не более 7365,0 с учетом страховых взносов</w:t>
            </w:r>
          </w:p>
        </w:tc>
        <w:tc>
          <w:tcPr>
            <w:tcW w:w="1587" w:type="dxa"/>
          </w:tcPr>
          <w:p>
            <w:pPr>
              <w:pStyle w:val="0"/>
            </w:pPr>
            <w:r>
              <w:rPr>
                <w:sz w:val="20"/>
              </w:rPr>
              <w:t xml:space="preserve">не более 7365,0 с учетом страховых взносов</w:t>
            </w:r>
          </w:p>
        </w:tc>
        <w:tc>
          <w:tcPr>
            <w:tcW w:w="1474" w:type="dxa"/>
          </w:tcPr>
          <w:p>
            <w:pPr>
              <w:pStyle w:val="0"/>
            </w:pPr>
            <w:r>
              <w:rPr>
                <w:sz w:val="20"/>
              </w:rPr>
              <w:t xml:space="preserve">не более 7365,0 с учетом страховых взносов</w:t>
            </w:r>
          </w:p>
        </w:tc>
      </w:tr>
      <w:tr>
        <w:tblPrEx>
          <w:tblBorders>
            <w:insideH w:val="nil"/>
          </w:tblBorders>
        </w:tblPrEx>
        <w:tc>
          <w:tcPr>
            <w:tcBorders>
              <w:bottom w:val="nil"/>
            </w:tcBorders>
            <w:vMerge w:val="continue"/>
          </w:tcPr>
          <w:p/>
        </w:tc>
        <w:tc>
          <w:tcPr>
            <w:tcW w:w="2835" w:type="dxa"/>
            <w:tcBorders>
              <w:bottom w:val="nil"/>
            </w:tcBorders>
          </w:tcPr>
          <w:p>
            <w:pPr>
              <w:pStyle w:val="0"/>
            </w:pPr>
            <w:r>
              <w:rPr>
                <w:sz w:val="20"/>
              </w:rPr>
              <w:t xml:space="preserve">Период участия, месяцы</w:t>
            </w:r>
          </w:p>
        </w:tc>
        <w:tc>
          <w:tcPr>
            <w:tcW w:w="1531" w:type="dxa"/>
            <w:tcBorders>
              <w:bottom w:val="nil"/>
            </w:tcBorders>
          </w:tcPr>
          <w:p>
            <w:pPr>
              <w:pStyle w:val="0"/>
            </w:pPr>
            <w:r>
              <w:rPr>
                <w:sz w:val="20"/>
              </w:rPr>
            </w:r>
          </w:p>
        </w:tc>
        <w:tc>
          <w:tcPr>
            <w:tcW w:w="1531" w:type="dxa"/>
            <w:tcBorders>
              <w:bottom w:val="nil"/>
            </w:tcBorders>
          </w:tcPr>
          <w:p>
            <w:pPr>
              <w:pStyle w:val="0"/>
            </w:pPr>
            <w:r>
              <w:rPr>
                <w:sz w:val="20"/>
              </w:rPr>
              <w:t xml:space="preserve">3</w:t>
            </w:r>
          </w:p>
        </w:tc>
        <w:tc>
          <w:tcPr>
            <w:tcW w:w="1531" w:type="dxa"/>
            <w:tcBorders>
              <w:bottom w:val="nil"/>
            </w:tcBorders>
          </w:tcPr>
          <w:p>
            <w:pPr>
              <w:pStyle w:val="0"/>
            </w:pPr>
            <w:r>
              <w:rPr>
                <w:sz w:val="20"/>
              </w:rPr>
              <w:t xml:space="preserve">3</w:t>
            </w:r>
          </w:p>
        </w:tc>
        <w:tc>
          <w:tcPr>
            <w:tcW w:w="1587" w:type="dxa"/>
            <w:tcBorders>
              <w:bottom w:val="nil"/>
            </w:tcBorders>
          </w:tcPr>
          <w:p>
            <w:pPr>
              <w:pStyle w:val="0"/>
            </w:pPr>
            <w:r>
              <w:rPr>
                <w:sz w:val="20"/>
              </w:rPr>
              <w:t xml:space="preserve">3</w:t>
            </w:r>
          </w:p>
        </w:tc>
        <w:tc>
          <w:tcPr>
            <w:tcW w:w="1474" w:type="dxa"/>
            <w:tcBorders>
              <w:bottom w:val="nil"/>
            </w:tcBorders>
          </w:tcPr>
          <w:p>
            <w:pPr>
              <w:pStyle w:val="0"/>
            </w:pPr>
            <w:r>
              <w:rPr>
                <w:sz w:val="20"/>
              </w:rPr>
              <w:t xml:space="preserve">3</w:t>
            </w:r>
          </w:p>
        </w:tc>
      </w:tr>
      <w:tr>
        <w:tblPrEx>
          <w:tblBorders>
            <w:insideH w:val="nil"/>
          </w:tblBorders>
        </w:tblPrEx>
        <w:tc>
          <w:tcPr>
            <w:gridSpan w:val="7"/>
            <w:tcW w:w="11056" w:type="dxa"/>
            <w:tcBorders>
              <w:top w:val="nil"/>
            </w:tcBorders>
          </w:tcPr>
          <w:p>
            <w:pPr>
              <w:pStyle w:val="0"/>
              <w:jc w:val="both"/>
            </w:pPr>
            <w:r>
              <w:rPr>
                <w:sz w:val="20"/>
              </w:rPr>
              <w:t xml:space="preserve">(в ред. </w:t>
            </w:r>
            <w:hyperlink w:history="0" r:id="rId28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tc>
      </w:tr>
      <w:tr>
        <w:tc>
          <w:tcPr>
            <w:tcW w:w="567" w:type="dxa"/>
          </w:tcPr>
          <w:p>
            <w:pPr>
              <w:pStyle w:val="0"/>
            </w:pPr>
            <w:r>
              <w:rPr>
                <w:sz w:val="20"/>
              </w:rPr>
              <w:t xml:space="preserve">9.</w:t>
            </w:r>
          </w:p>
        </w:tc>
        <w:tc>
          <w:tcPr>
            <w:tcW w:w="2835" w:type="dxa"/>
          </w:tcPr>
          <w:p>
            <w:pPr>
              <w:pStyle w:val="0"/>
            </w:pPr>
            <w:r>
              <w:rPr>
                <w:sz w:val="20"/>
              </w:rPr>
              <w:t xml:space="preserve">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w:t>
            </w:r>
          </w:p>
        </w:tc>
        <w:tc>
          <w:tcPr>
            <w:tcW w:w="1531" w:type="dxa"/>
          </w:tcPr>
          <w:p>
            <w:pPr>
              <w:pStyle w:val="0"/>
            </w:pPr>
            <w:r>
              <w:rPr>
                <w:sz w:val="20"/>
              </w:rPr>
              <w:t xml:space="preserve">компенсация по оплате труда наставника</w:t>
            </w:r>
          </w:p>
        </w:tc>
        <w:tc>
          <w:tcPr>
            <w:tcW w:w="1531" w:type="dxa"/>
          </w:tcPr>
          <w:p>
            <w:pPr>
              <w:pStyle w:val="0"/>
            </w:pPr>
            <w:r>
              <w:rPr>
                <w:sz w:val="20"/>
              </w:rPr>
              <w:t xml:space="preserve">не более 7365,0 с учетом страховых взносов</w:t>
            </w:r>
          </w:p>
        </w:tc>
        <w:tc>
          <w:tcPr>
            <w:tcW w:w="1531" w:type="dxa"/>
          </w:tcPr>
          <w:p>
            <w:pPr>
              <w:pStyle w:val="0"/>
            </w:pPr>
            <w:r>
              <w:rPr>
                <w:sz w:val="20"/>
              </w:rPr>
              <w:t xml:space="preserve">не более 7365,0 с учетом страховых взносов</w:t>
            </w:r>
          </w:p>
        </w:tc>
        <w:tc>
          <w:tcPr>
            <w:tcW w:w="1587" w:type="dxa"/>
          </w:tcPr>
          <w:p>
            <w:pPr>
              <w:pStyle w:val="0"/>
            </w:pPr>
            <w:r>
              <w:rPr>
                <w:sz w:val="20"/>
              </w:rPr>
              <w:t xml:space="preserve">не более 7365,0 с учетом страховых взносов</w:t>
            </w:r>
          </w:p>
        </w:tc>
        <w:tc>
          <w:tcPr>
            <w:tcW w:w="1474" w:type="dxa"/>
          </w:tcPr>
          <w:p>
            <w:pPr>
              <w:pStyle w:val="0"/>
            </w:pPr>
            <w:r>
              <w:rPr>
                <w:sz w:val="20"/>
              </w:rPr>
              <w:t xml:space="preserve">не более 7365,0 с учетом страховых взносов</w:t>
            </w:r>
          </w:p>
        </w:tc>
      </w:tr>
      <w:tr>
        <w:tc>
          <w:tcPr>
            <w:tcW w:w="567" w:type="dxa"/>
          </w:tcPr>
          <w:p>
            <w:pPr>
              <w:pStyle w:val="0"/>
            </w:pPr>
            <w:r>
              <w:rPr>
                <w:sz w:val="20"/>
              </w:rPr>
            </w:r>
          </w:p>
        </w:tc>
        <w:tc>
          <w:tcPr>
            <w:tcW w:w="2835" w:type="dxa"/>
          </w:tcPr>
          <w:p>
            <w:pPr>
              <w:pStyle w:val="0"/>
            </w:pPr>
            <w:r>
              <w:rPr>
                <w:sz w:val="20"/>
              </w:rPr>
              <w:t xml:space="preserve">Период участия, месяцы</w:t>
            </w:r>
          </w:p>
        </w:tc>
        <w:tc>
          <w:tcPr>
            <w:tcW w:w="1531" w:type="dxa"/>
          </w:tcPr>
          <w:p>
            <w:pPr>
              <w:pStyle w:val="0"/>
            </w:pPr>
            <w:r>
              <w:rPr>
                <w:sz w:val="20"/>
              </w:rPr>
            </w:r>
          </w:p>
        </w:tc>
        <w:tc>
          <w:tcPr>
            <w:tcW w:w="1531" w:type="dxa"/>
          </w:tcPr>
          <w:p>
            <w:pPr>
              <w:pStyle w:val="0"/>
            </w:pPr>
            <w:r>
              <w:rPr>
                <w:sz w:val="20"/>
              </w:rPr>
              <w:t xml:space="preserve">3</w:t>
            </w:r>
          </w:p>
        </w:tc>
        <w:tc>
          <w:tcPr>
            <w:tcW w:w="1531" w:type="dxa"/>
          </w:tcPr>
          <w:p>
            <w:pPr>
              <w:pStyle w:val="0"/>
            </w:pPr>
            <w:r>
              <w:rPr>
                <w:sz w:val="20"/>
              </w:rPr>
              <w:t xml:space="preserve">3</w:t>
            </w:r>
          </w:p>
        </w:tc>
        <w:tc>
          <w:tcPr>
            <w:tcW w:w="1587" w:type="dxa"/>
          </w:tcPr>
          <w:p>
            <w:pPr>
              <w:pStyle w:val="0"/>
            </w:pPr>
            <w:r>
              <w:rPr>
                <w:sz w:val="20"/>
              </w:rPr>
              <w:t xml:space="preserve">3</w:t>
            </w:r>
          </w:p>
        </w:tc>
        <w:tc>
          <w:tcPr>
            <w:tcW w:w="1474" w:type="dxa"/>
          </w:tcPr>
          <w:p>
            <w:pPr>
              <w:pStyle w:val="0"/>
            </w:pPr>
            <w:r>
              <w:rPr>
                <w:sz w:val="20"/>
              </w:rPr>
              <w:t xml:space="preserve">3</w:t>
            </w:r>
          </w:p>
        </w:tc>
      </w:tr>
      <w:tr>
        <w:tc>
          <w:tcPr>
            <w:tcW w:w="567" w:type="dxa"/>
          </w:tcPr>
          <w:p>
            <w:pPr>
              <w:pStyle w:val="0"/>
            </w:pPr>
            <w:r>
              <w:rPr>
                <w:sz w:val="20"/>
              </w:rPr>
              <w:t xml:space="preserve">10.</w:t>
            </w:r>
          </w:p>
        </w:tc>
        <w:tc>
          <w:tcPr>
            <w:tcW w:w="2835" w:type="dxa"/>
          </w:tcPr>
          <w:p>
            <w:pPr>
              <w:pStyle w:val="0"/>
            </w:pPr>
            <w:r>
              <w:rPr>
                <w:sz w:val="20"/>
              </w:rPr>
              <w:t xml:space="preserve">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w:t>
            </w:r>
          </w:p>
        </w:tc>
        <w:tc>
          <w:tcPr>
            <w:tcW w:w="1531" w:type="dxa"/>
          </w:tcPr>
          <w:p>
            <w:pPr>
              <w:pStyle w:val="0"/>
            </w:pPr>
            <w:r>
              <w:rPr>
                <w:sz w:val="20"/>
              </w:rPr>
              <w:t xml:space="preserve">возмещение части расходов работодателя по оплате труда</w:t>
            </w:r>
          </w:p>
        </w:tc>
        <w:tc>
          <w:tcPr>
            <w:tcW w:w="1531" w:type="dxa"/>
          </w:tcPr>
          <w:p>
            <w:pPr>
              <w:pStyle w:val="0"/>
            </w:pPr>
            <w:r>
              <w:rPr>
                <w:sz w:val="20"/>
              </w:rPr>
              <w:t xml:space="preserve">15 279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в соответствии с действующим законодательством в зависимости от расположения организаций (предприятий), с увеличением на сумму страховых взносов</w:t>
            </w:r>
          </w:p>
        </w:tc>
        <w:tc>
          <w:tcPr>
            <w:tcW w:w="1531" w:type="dxa"/>
          </w:tcPr>
          <w:p>
            <w:pPr>
              <w:pStyle w:val="0"/>
            </w:pPr>
            <w:r>
              <w:rPr>
                <w:sz w:val="20"/>
              </w:rPr>
            </w:r>
          </w:p>
        </w:tc>
        <w:tc>
          <w:tcPr>
            <w:tcW w:w="1587" w:type="dxa"/>
          </w:tcPr>
          <w:p>
            <w:pPr>
              <w:pStyle w:val="0"/>
            </w:pPr>
            <w:r>
              <w:rPr>
                <w:sz w:val="20"/>
              </w:rPr>
            </w:r>
          </w:p>
        </w:tc>
        <w:tc>
          <w:tcPr>
            <w:tcW w:w="1474" w:type="dxa"/>
          </w:tcPr>
          <w:p>
            <w:pPr>
              <w:pStyle w:val="0"/>
            </w:pPr>
            <w:r>
              <w:rPr>
                <w:sz w:val="20"/>
              </w:rPr>
            </w:r>
          </w:p>
        </w:tc>
      </w:tr>
      <w:tr>
        <w:tblPrEx>
          <w:tblBorders>
            <w:insideH w:val="nil"/>
          </w:tblBorders>
        </w:tblPrEx>
        <w:tc>
          <w:tcPr>
            <w:tcW w:w="567" w:type="dxa"/>
            <w:tcBorders>
              <w:bottom w:val="nil"/>
            </w:tcBorders>
          </w:tcPr>
          <w:p>
            <w:pPr>
              <w:pStyle w:val="0"/>
            </w:pPr>
            <w:r>
              <w:rPr>
                <w:sz w:val="20"/>
              </w:rPr>
            </w:r>
          </w:p>
        </w:tc>
        <w:tc>
          <w:tcPr>
            <w:tcW w:w="2835" w:type="dxa"/>
            <w:tcBorders>
              <w:bottom w:val="nil"/>
            </w:tcBorders>
          </w:tcPr>
          <w:p>
            <w:pPr>
              <w:pStyle w:val="0"/>
            </w:pPr>
            <w:r>
              <w:rPr>
                <w:sz w:val="20"/>
              </w:rPr>
              <w:t xml:space="preserve">Период участия, месяцы</w:t>
            </w:r>
          </w:p>
        </w:tc>
        <w:tc>
          <w:tcPr>
            <w:tcW w:w="1531" w:type="dxa"/>
            <w:tcBorders>
              <w:bottom w:val="nil"/>
            </w:tcBorders>
          </w:tcPr>
          <w:p>
            <w:pPr>
              <w:pStyle w:val="0"/>
            </w:pPr>
            <w:r>
              <w:rPr>
                <w:sz w:val="20"/>
              </w:rPr>
            </w:r>
          </w:p>
        </w:tc>
        <w:tc>
          <w:tcPr>
            <w:tcW w:w="1531" w:type="dxa"/>
            <w:tcBorders>
              <w:bottom w:val="nil"/>
            </w:tcBorders>
          </w:tcPr>
          <w:p>
            <w:pPr>
              <w:pStyle w:val="0"/>
            </w:pPr>
            <w:r>
              <w:rPr>
                <w:sz w:val="20"/>
              </w:rPr>
              <w:t xml:space="preserve">12</w:t>
            </w:r>
          </w:p>
        </w:tc>
        <w:tc>
          <w:tcPr>
            <w:tcW w:w="1531" w:type="dxa"/>
            <w:tcBorders>
              <w:bottom w:val="nil"/>
            </w:tcBorders>
          </w:tcPr>
          <w:p>
            <w:pPr>
              <w:pStyle w:val="0"/>
            </w:pPr>
            <w:r>
              <w:rPr>
                <w:sz w:val="20"/>
              </w:rPr>
            </w:r>
          </w:p>
        </w:tc>
        <w:tc>
          <w:tcPr>
            <w:tcW w:w="1587" w:type="dxa"/>
            <w:tcBorders>
              <w:bottom w:val="nil"/>
            </w:tcBorders>
          </w:tcPr>
          <w:p>
            <w:pPr>
              <w:pStyle w:val="0"/>
            </w:pPr>
            <w:r>
              <w:rPr>
                <w:sz w:val="20"/>
              </w:rPr>
            </w:r>
          </w:p>
        </w:tc>
        <w:tc>
          <w:tcPr>
            <w:tcW w:w="1474" w:type="dxa"/>
            <w:tcBorders>
              <w:bottom w:val="nil"/>
            </w:tcBorders>
          </w:tcPr>
          <w:p>
            <w:pPr>
              <w:pStyle w:val="0"/>
            </w:pPr>
            <w:r>
              <w:rPr>
                <w:sz w:val="20"/>
              </w:rPr>
            </w:r>
          </w:p>
        </w:tc>
      </w:tr>
      <w:tr>
        <w:tblPrEx>
          <w:tblBorders>
            <w:insideH w:val="nil"/>
          </w:tblBorders>
        </w:tblPrEx>
        <w:tc>
          <w:tcPr>
            <w:gridSpan w:val="7"/>
            <w:tcW w:w="11056" w:type="dxa"/>
            <w:tcBorders>
              <w:top w:val="nil"/>
            </w:tcBorders>
          </w:tcPr>
          <w:p>
            <w:pPr>
              <w:pStyle w:val="0"/>
              <w:jc w:val="both"/>
            </w:pPr>
            <w:r>
              <w:rPr>
                <w:sz w:val="20"/>
              </w:rPr>
              <w:t xml:space="preserve">(п. 10 введен </w:t>
            </w:r>
            <w:hyperlink w:history="0" r:id="rId282"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1.7.2. По мероприятию, предусмотренному </w:t>
      </w:r>
      <w:hyperlink w:history="0" w:anchor="P2439" w:tooltip="организация временного трудоустройства несовершеннолетних граждан в возрасте от 14 до 18 лет в свободное от учебы время (основное мероприятие 1.5 &quot;Содействие занятости молодежи&quot; подпрограммы 1 &quot;Содействие трудоустройству граждан&quot; государственной программы (далее - основное мероприятие 1.5));">
        <w:r>
          <w:rPr>
            <w:sz w:val="20"/>
            <w:color w:val="0000ff"/>
          </w:rPr>
          <w:t xml:space="preserve">абзацем вторым подпункта 1.2.1 пункта 1.2</w:t>
        </w:r>
      </w:hyperlink>
      <w:r>
        <w:rPr>
          <w:sz w:val="20"/>
        </w:rPr>
        <w:t xml:space="preserve"> Порядка, компенсация по оплате труда устанавливается за полный отработанный месяц на 1 несовершеннолетнего на период участия в мероприятии (1 месяц) в размере 10 000 рублей с учетом страховых взносов.</w:t>
      </w:r>
    </w:p>
    <w:p>
      <w:pPr>
        <w:pStyle w:val="0"/>
        <w:spacing w:before="200" w:line-rule="auto"/>
        <w:ind w:firstLine="540"/>
        <w:jc w:val="both"/>
      </w:pPr>
      <w:r>
        <w:rPr>
          <w:sz w:val="20"/>
        </w:rPr>
        <w:t xml:space="preserve">Размер компенсации по оплате труда, указанный в настоящем подпункте, не изменяется в случае, если совершеннолетие трудоустроенного гражданина наступает в месяце, в котором осуществлялась его трудовая деятельность.</w:t>
      </w:r>
    </w:p>
    <w:p>
      <w:pPr>
        <w:pStyle w:val="0"/>
        <w:spacing w:before="200" w:line-rule="auto"/>
        <w:ind w:firstLine="540"/>
        <w:jc w:val="both"/>
      </w:pPr>
      <w:r>
        <w:rPr>
          <w:sz w:val="20"/>
        </w:rPr>
        <w:t xml:space="preserve">1.7.3. Компенсация по оплате труда наставника осуществляется из расчета не более установленной в </w:t>
      </w:r>
      <w:hyperlink w:history="0" w:anchor="P2497" w:tooltip="Размеры компенсации по оплате труда и материальной">
        <w:r>
          <w:rPr>
            <w:sz w:val="20"/>
            <w:color w:val="0000ff"/>
          </w:rPr>
          <w:t xml:space="preserve">таблице 1</w:t>
        </w:r>
      </w:hyperlink>
      <w:r>
        <w:rPr>
          <w:sz w:val="20"/>
        </w:rPr>
        <w:t xml:space="preserve"> суммы по той штатной единице, которую занимает наставник, независимо от числа лиц, в отношении которых осуществляется наставничество.</w:t>
      </w:r>
    </w:p>
    <w:p>
      <w:pPr>
        <w:pStyle w:val="0"/>
        <w:spacing w:before="200" w:line-rule="auto"/>
        <w:ind w:firstLine="540"/>
        <w:jc w:val="both"/>
      </w:pPr>
      <w:r>
        <w:rPr>
          <w:sz w:val="20"/>
        </w:rPr>
        <w:t xml:space="preserve">1.8. В случае временного трудоустройства гражданина на неполную тарифную ставку размер компенсации по оплате труда устанавливается исходя из расходов, осуществленных учреждением, по оплате труда работника с учетом страховых взносов и не должен превышать размер компенсации по оплате труда, установленный для категорий граждан в соответствии с </w:t>
      </w:r>
      <w:hyperlink w:history="0" w:anchor="P2497" w:tooltip="Размеры компенсации по оплате труда и материальной">
        <w:r>
          <w:rPr>
            <w:sz w:val="20"/>
            <w:color w:val="0000ff"/>
          </w:rPr>
          <w:t xml:space="preserve">таблицей 1</w:t>
        </w:r>
      </w:hyperlink>
      <w:r>
        <w:rPr>
          <w:sz w:val="20"/>
        </w:rPr>
        <w:t xml:space="preserve">.</w:t>
      </w:r>
    </w:p>
    <w:bookmarkStart w:id="2725" w:name="P2725"/>
    <w:bookmarkEnd w:id="2725"/>
    <w:p>
      <w:pPr>
        <w:pStyle w:val="0"/>
        <w:spacing w:before="200" w:line-rule="auto"/>
        <w:ind w:firstLine="540"/>
        <w:jc w:val="both"/>
      </w:pPr>
      <w:r>
        <w:rPr>
          <w:sz w:val="20"/>
        </w:rPr>
        <w:t xml:space="preserve">1.9. Финансовое обеспечение затрат по оснащению (дооснащению) постоянного рабочего места осуществляется в размере, подтвержденном сметой, являющейся неотъемлемой частью заявления, указанного в </w:t>
      </w:r>
      <w:hyperlink w:history="0" w:anchor="P2772" w:tooltip="2.1. Для получения бюджетных средств учреждение представляет в центр занятости населения по месту своего нахождения следующие документы:">
        <w:r>
          <w:rPr>
            <w:sz w:val="20"/>
            <w:color w:val="0000ff"/>
          </w:rPr>
          <w:t xml:space="preserve">пункте 2.1</w:t>
        </w:r>
      </w:hyperlink>
      <w:r>
        <w:rPr>
          <w:sz w:val="20"/>
        </w:rPr>
        <w:t xml:space="preserve"> Порядка, но не более:</w:t>
      </w:r>
    </w:p>
    <w:p>
      <w:pPr>
        <w:pStyle w:val="0"/>
        <w:spacing w:before="200" w:line-rule="auto"/>
        <w:ind w:firstLine="540"/>
        <w:jc w:val="both"/>
      </w:pPr>
      <w:r>
        <w:rPr>
          <w:sz w:val="20"/>
        </w:rPr>
        <w:t xml:space="preserve">100 000 рублей для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w:history="0" r:id="rId28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4.1</w:t>
        </w:r>
      </w:hyperlink>
      <w:r>
        <w:rPr>
          <w:sz w:val="20"/>
        </w:rPr>
        <w:t xml:space="preserve">);</w:t>
      </w:r>
    </w:p>
    <w:p>
      <w:pPr>
        <w:pStyle w:val="0"/>
        <w:jc w:val="both"/>
      </w:pPr>
      <w:r>
        <w:rPr>
          <w:sz w:val="20"/>
        </w:rPr>
        <w:t xml:space="preserve">(в ред. </w:t>
      </w:r>
      <w:hyperlink w:history="0" r:id="rId28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50 000 рублей для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w:history="0" r:id="rId28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w:t>
      </w:r>
    </w:p>
    <w:p>
      <w:pPr>
        <w:pStyle w:val="0"/>
        <w:spacing w:before="200" w:line-rule="auto"/>
        <w:ind w:firstLine="540"/>
        <w:jc w:val="both"/>
      </w:pPr>
      <w:r>
        <w:rPr>
          <w:sz w:val="20"/>
        </w:rPr>
        <w:t xml:space="preserve">1.9.1. Финансовое обеспечение затрат по оснащению (дооснащению) постоянного рабочего места при реализации мероприятия "Содействие трудоустройству незанятых инвалидов трудоспособного возраста, в том числе инвалидов молодого возраста, на оборудованные (оснащенные) рабочие места" (основное </w:t>
      </w:r>
      <w:hyperlink w:history="0" r:id="rId28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4.1</w:t>
        </w:r>
      </w:hyperlink>
      <w:r>
        <w:rPr>
          <w:sz w:val="20"/>
        </w:rPr>
        <w:t xml:space="preserve">) включает:</w:t>
      </w:r>
    </w:p>
    <w:p>
      <w:pPr>
        <w:pStyle w:val="0"/>
        <w:spacing w:before="200" w:line-rule="auto"/>
        <w:ind w:firstLine="540"/>
        <w:jc w:val="both"/>
      </w:pPr>
      <w:r>
        <w:rPr>
          <w:sz w:val="20"/>
        </w:rPr>
        <w:t xml:space="preserve">приобретение, монтаж и установку необходимого по оснащению (дооснащению) постоянного рабочего места с учетом индивидуальных возможностей инвалида технического и организационного оснащения, дополнительного оснащения и обеспечения техническими приспособлениями, мебелью;</w:t>
      </w:r>
    </w:p>
    <w:p>
      <w:pPr>
        <w:pStyle w:val="0"/>
        <w:spacing w:before="200" w:line-rule="auto"/>
        <w:ind w:firstLine="540"/>
        <w:jc w:val="both"/>
      </w:pPr>
      <w:r>
        <w:rPr>
          <w:sz w:val="20"/>
        </w:rPr>
        <w:t xml:space="preserve">приобретение, монтаж и установку специального оборудования, необходимого для оснащения (дооснащения) постоянного рабочего места для трудоустройства инвалида, на приобретение технических приспособлений (визуальных, акустических, тактильных и иных), предметов и приспособлений шумоизоляции, специальной мебели, а также оборудования климат-контроля для создания благоприятных климатических условий работы;</w:t>
      </w:r>
    </w:p>
    <w:p>
      <w:pPr>
        <w:pStyle w:val="0"/>
        <w:spacing w:before="200" w:line-rule="auto"/>
        <w:ind w:firstLine="540"/>
        <w:jc w:val="both"/>
      </w:pPr>
      <w:r>
        <w:rPr>
          <w:sz w:val="20"/>
        </w:rPr>
        <w:t xml:space="preserve">затраты, связанные с изменением отдельных элементов интерьера (установка пандусов на входе, расширение дверных проемов, переоборудование санитарно-бытовых помещений, приобретение и монтаж подъемных устройств, ограждение лестничных проемов и другое), а также расходы, связанные с оформлением документов при трудоустройстве инвалидов, использующих кресла-коляски, на оборудованные (оснащенные) рабочие места, в том числе на дому;</w:t>
      </w:r>
    </w:p>
    <w:p>
      <w:pPr>
        <w:pStyle w:val="0"/>
        <w:spacing w:before="200" w:line-rule="auto"/>
        <w:ind w:firstLine="540"/>
        <w:jc w:val="both"/>
      </w:pPr>
      <w:r>
        <w:rPr>
          <w:sz w:val="20"/>
        </w:rPr>
        <w:t xml:space="preserve">приобретение: специальных аудиопрограмм для слабовидящих и слепых людей, с помощью которых инвалиды учатся набирать компьютерный текст, находить информацию в информационно-телекоммуникационной сети Интернет, пользоваться электронной почтой, записывать компакт-диски; специального программного обеспечения, позволяющего увеличивать шрифт или изображение на экране компьютера; специального оборудования, усиливающего звук, для слабослышащего инвалида; другого вспомогательного оснащения;</w:t>
      </w:r>
    </w:p>
    <w:p>
      <w:pPr>
        <w:pStyle w:val="0"/>
        <w:spacing w:before="200" w:line-rule="auto"/>
        <w:ind w:firstLine="540"/>
        <w:jc w:val="both"/>
      </w:pPr>
      <w:r>
        <w:rPr>
          <w:sz w:val="20"/>
        </w:rPr>
        <w:t xml:space="preserve">организацию специального рабочего места для инвалида в месте его проживания, если надомный труд используется в этой организации как форма хозяйствования, а оформление надомного труда осуществляется в соответствии с </w:t>
      </w:r>
      <w:hyperlink w:history="0" r:id="rId28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главой 49</w:t>
        </w:r>
      </w:hyperlink>
      <w:r>
        <w:rPr>
          <w:sz w:val="20"/>
        </w:rPr>
        <w:t xml:space="preserve"> Трудового кодекса Российской Федерации и не противоречит Порядку.</w:t>
      </w:r>
    </w:p>
    <w:p>
      <w:pPr>
        <w:pStyle w:val="0"/>
        <w:spacing w:before="200" w:line-rule="auto"/>
        <w:ind w:firstLine="540"/>
        <w:jc w:val="both"/>
      </w:pPr>
      <w:r>
        <w:rPr>
          <w:sz w:val="20"/>
        </w:rPr>
        <w:t xml:space="preserve">1.9.2. Финансовое обеспечение затрат по оснащению (дооснащению) постоянного рабочего места при реализации мероприятия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(основное </w:t>
      </w:r>
      <w:hyperlink w:history="0" r:id="rId28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мероприятие 1.2</w:t>
        </w:r>
      </w:hyperlink>
      <w:r>
        <w:rPr>
          <w:sz w:val="20"/>
        </w:rPr>
        <w:t xml:space="preserve">) включает приобретение, монтаж и установку оборудования, необходимого для оснащения (дооснащения) постоянных рабочих мест (в том числе надомных) для трудоустройства родителей, женщин.</w:t>
      </w:r>
    </w:p>
    <w:p>
      <w:pPr>
        <w:pStyle w:val="0"/>
        <w:spacing w:before="200" w:line-rule="auto"/>
        <w:ind w:firstLine="540"/>
        <w:jc w:val="both"/>
      </w:pPr>
      <w:r>
        <w:rPr>
          <w:sz w:val="20"/>
        </w:rPr>
        <w:t xml:space="preserve">1.10. Направление на стажировку инвалида осуществляется, если:</w:t>
      </w:r>
    </w:p>
    <w:p>
      <w:pPr>
        <w:pStyle w:val="0"/>
        <w:spacing w:before="200" w:line-rule="auto"/>
        <w:ind w:firstLine="540"/>
        <w:jc w:val="both"/>
      </w:pPr>
      <w:r>
        <w:rPr>
          <w:sz w:val="20"/>
        </w:rPr>
        <w:t xml:space="preserve">а) инвалид не имеет опыта работы или недостаточный опыт работы (менее 3 лет) по имеющимся профессиям (специальностям), в том числе смежным профессиям, независимо от даты окончания профессиональной образовательной организации и образовательной организации высшего образования, получения дополнительного профессионального образования;</w:t>
      </w:r>
    </w:p>
    <w:bookmarkStart w:id="2738" w:name="P2738"/>
    <w:bookmarkEnd w:id="2738"/>
    <w:p>
      <w:pPr>
        <w:pStyle w:val="0"/>
        <w:spacing w:before="200" w:line-rule="auto"/>
        <w:ind w:firstLine="540"/>
        <w:jc w:val="both"/>
      </w:pPr>
      <w:r>
        <w:rPr>
          <w:sz w:val="20"/>
        </w:rPr>
        <w:t xml:space="preserve">б) инвалид со стойкими расстройствами функций организма (1 - 2 группы инвалидности с нарушением функций слуха, зрения, одновременно слуха и зрения, имеющие значительно выраженные ограничения в передвижении, в том числе использующие кресла-коляски, 1 - 3 группы инвалидности с ментальными нарушениями) не имеет профессионального образования (квалификации);</w:t>
      </w:r>
    </w:p>
    <w:bookmarkStart w:id="2739" w:name="P2739"/>
    <w:bookmarkEnd w:id="2739"/>
    <w:p>
      <w:pPr>
        <w:pStyle w:val="0"/>
        <w:spacing w:before="200" w:line-rule="auto"/>
        <w:ind w:firstLine="540"/>
        <w:jc w:val="both"/>
      </w:pPr>
      <w:r>
        <w:rPr>
          <w:sz w:val="20"/>
        </w:rPr>
        <w:t xml:space="preserve">в) инвалид (1 - 2 группы инвалидности со всеми видами нарушений функций организма, 3 группы инвалидности с ментальными нарушениями)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bookmarkStart w:id="2740" w:name="P2740"/>
    <w:bookmarkEnd w:id="2740"/>
    <w:p>
      <w:pPr>
        <w:pStyle w:val="0"/>
        <w:spacing w:before="200" w:line-rule="auto"/>
        <w:ind w:firstLine="540"/>
        <w:jc w:val="both"/>
      </w:pPr>
      <w:r>
        <w:rPr>
          <w:sz w:val="20"/>
        </w:rPr>
        <w:t xml:space="preserve">г) инвалид получил инвалидность впервые (независимо от группы инвалидности и вида нарушений функций организма) 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w:t>
      </w:r>
    </w:p>
    <w:p>
      <w:pPr>
        <w:pStyle w:val="0"/>
        <w:spacing w:before="200" w:line-rule="auto"/>
        <w:ind w:firstLine="540"/>
        <w:jc w:val="both"/>
      </w:pPr>
      <w:r>
        <w:rPr>
          <w:sz w:val="20"/>
        </w:rPr>
        <w:t xml:space="preserve">Стажировка инвалидов, указанных в </w:t>
      </w:r>
      <w:hyperlink w:history="0" w:anchor="P2738" w:tooltip="б) инвалид со стойкими расстройствами функций организма (1 - 2 группы инвалидности с нарушением функций слуха, зрения, одновременно слуха и зрения, имеющие значительно выраженные ограничения в передвижении, в том числе использующие кресла-коляски, 1 - 3 группы инвалидности с ментальными нарушениями) не имеет профессионального образования (квалификации);">
        <w:r>
          <w:rPr>
            <w:sz w:val="20"/>
            <w:color w:val="0000ff"/>
          </w:rPr>
          <w:t xml:space="preserve">подпунктах "б"</w:t>
        </w:r>
      </w:hyperlink>
      <w:r>
        <w:rPr>
          <w:sz w:val="20"/>
        </w:rPr>
        <w:t xml:space="preserve">, </w:t>
      </w:r>
      <w:hyperlink w:history="0" w:anchor="P2739" w:tooltip="в) инвалид (1 - 2 группы инвалидности со всеми видами нарушений функций организма, 3 группы инвалидности с ментальными нарушениям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
        <w:r>
          <w:rPr>
            <w:sz w:val="20"/>
            <w:color w:val="0000ff"/>
          </w:rPr>
          <w:t xml:space="preserve">"в"</w:t>
        </w:r>
      </w:hyperlink>
      <w:r>
        <w:rPr>
          <w:sz w:val="20"/>
        </w:rPr>
        <w:t xml:space="preserve">, </w:t>
      </w:r>
      <w:hyperlink w:history="0" w:anchor="P2740" w:tooltip="г) инвалид получил инвалидность впервые (независимо от группы инвалидности и вида нарушений функций организма) и утратил способность выполнять работы по имеющимся профессиям (специальностям), которому в соответствии с индивидуальной программой реабилитации или абилитации инвалида рекомендованы неквалифицированные виды труда.">
        <w:r>
          <w:rPr>
            <w:sz w:val="20"/>
            <w:color w:val="0000ff"/>
          </w:rPr>
          <w:t xml:space="preserve">"г"</w:t>
        </w:r>
      </w:hyperlink>
      <w:r>
        <w:rPr>
          <w:sz w:val="20"/>
        </w:rPr>
        <w:t xml:space="preserve"> настоящего пункта, может проходить на рабочих местах с неквалифицированными видами труда.</w:t>
      </w:r>
    </w:p>
    <w:p>
      <w:pPr>
        <w:pStyle w:val="0"/>
        <w:spacing w:before="200" w:line-rule="auto"/>
        <w:ind w:firstLine="540"/>
        <w:jc w:val="both"/>
      </w:pPr>
      <w:r>
        <w:rPr>
          <w:sz w:val="20"/>
        </w:rPr>
        <w:t xml:space="preserve">1.11. Наступление у инвалида возраста, превышающего трудоспособный, установленный в Российской Федерации, у выпускника - 25 лет, в период их стажировки, временного трудоустройства не является основанием для прекращения предоставления учреждению компенсации по оплате труда инвалида, выпускника, а также основанием для прекращения выплаты выпускнику материальной поддержки.</w:t>
      </w:r>
    </w:p>
    <w:p>
      <w:pPr>
        <w:pStyle w:val="0"/>
        <w:jc w:val="both"/>
      </w:pPr>
      <w:r>
        <w:rPr>
          <w:sz w:val="20"/>
        </w:rPr>
        <w:t xml:space="preserve">(в ред. </w:t>
      </w:r>
      <w:hyperlink w:history="0" r:id="rId28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1.12. Повторное временное трудоустройство выпускника в текущем году не допускается.</w:t>
      </w:r>
    </w:p>
    <w:p>
      <w:pPr>
        <w:pStyle w:val="0"/>
        <w:spacing w:before="200" w:line-rule="auto"/>
        <w:ind w:firstLine="540"/>
        <w:jc w:val="both"/>
      </w:pPr>
      <w:r>
        <w:rPr>
          <w:sz w:val="20"/>
        </w:rPr>
        <w:t xml:space="preserve">1.13. В случае неистечения периода временного трудоустройства гражданина, установленного государственной программой, в календарном году его трудовая деятельность продляется на недостающий до установленного периода работы срок в следующем календарном году.</w:t>
      </w:r>
    </w:p>
    <w:p>
      <w:pPr>
        <w:pStyle w:val="0"/>
        <w:spacing w:before="200" w:line-rule="auto"/>
        <w:ind w:firstLine="540"/>
        <w:jc w:val="both"/>
      </w:pPr>
      <w:r>
        <w:rPr>
          <w:sz w:val="20"/>
        </w:rPr>
        <w:t xml:space="preserve">1.14. Отнесение граждан к категориям, установленным </w:t>
      </w:r>
      <w:hyperlink w:history="0" w:anchor="P2454" w:tooltip="1.3. В Порядке применяются следующие основные понятия и сокращения:">
        <w:r>
          <w:rPr>
            <w:sz w:val="20"/>
            <w:color w:val="0000ff"/>
          </w:rPr>
          <w:t xml:space="preserve">пунктом 1.3</w:t>
        </w:r>
      </w:hyperlink>
      <w:r>
        <w:rPr>
          <w:sz w:val="20"/>
        </w:rPr>
        <w:t xml:space="preserve"> Порядка, осуществляется при постановке на учет в центр занятости населения в целях поиска подходящей работы на основании следующих документов:</w:t>
      </w:r>
    </w:p>
    <w:p>
      <w:pPr>
        <w:pStyle w:val="0"/>
        <w:spacing w:before="200" w:line-rule="auto"/>
        <w:ind w:firstLine="540"/>
        <w:jc w:val="both"/>
      </w:pPr>
      <w:r>
        <w:rPr>
          <w:sz w:val="20"/>
        </w:rPr>
        <w:t xml:space="preserve">1.14.1. Свидетельства о рождении, подтверждающего принадлежность гражданина к коренным малочисленным народам Севера, или копии судебного акта, уточняющего либо устанавливающего национальность (для граждан из числа коренных малочисленных народов Севера).</w:t>
      </w:r>
    </w:p>
    <w:p>
      <w:pPr>
        <w:pStyle w:val="0"/>
        <w:spacing w:before="200" w:line-rule="auto"/>
        <w:ind w:firstLine="540"/>
        <w:jc w:val="both"/>
      </w:pPr>
      <w:r>
        <w:rPr>
          <w:sz w:val="20"/>
        </w:rPr>
        <w:t xml:space="preserve">1.14.2. Пенсионного удостоверения либо справки отделения Фонда пенсионного и социального страхования Российской Федерации по автономному округу, заверенной печатью органа и подписанной руководителем, - для граждан пенсионного возраста.</w:t>
      </w:r>
    </w:p>
    <w:p>
      <w:pPr>
        <w:pStyle w:val="0"/>
        <w:jc w:val="both"/>
      </w:pPr>
      <w:r>
        <w:rPr>
          <w:sz w:val="20"/>
        </w:rPr>
        <w:t xml:space="preserve">(в ред. </w:t>
      </w:r>
      <w:hyperlink w:history="0" r:id="rId290"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03.03.2023 N 68-п)</w:t>
      </w:r>
    </w:p>
    <w:p>
      <w:pPr>
        <w:pStyle w:val="0"/>
        <w:spacing w:before="200" w:line-rule="auto"/>
        <w:ind w:firstLine="540"/>
        <w:jc w:val="both"/>
      </w:pPr>
      <w:r>
        <w:rPr>
          <w:sz w:val="20"/>
        </w:rPr>
        <w:t xml:space="preserve">1.14.3. Справки об освобождении из мест лишения свободы - для граждан, освободившихся из учреждений, исполняющих наказание в виде лишения свободы.</w:t>
      </w:r>
    </w:p>
    <w:p>
      <w:pPr>
        <w:pStyle w:val="0"/>
        <w:spacing w:before="200" w:line-rule="auto"/>
        <w:ind w:firstLine="540"/>
        <w:jc w:val="both"/>
      </w:pPr>
      <w:r>
        <w:rPr>
          <w:sz w:val="20"/>
        </w:rPr>
        <w:t xml:space="preserve">В случае непредставления гражданином документа, предусмотренного настоящим подпунктом, получение сведений о его освобождении из мест лишения свободы осуществляется в порядке межведомственного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1.15. Предоставление учреждению компенсации по оплате труда осуществляется в отношении граждан, соответствующих следующим условиям:</w:t>
      </w:r>
    </w:p>
    <w:p>
      <w:pPr>
        <w:pStyle w:val="0"/>
        <w:spacing w:before="200" w:line-rule="auto"/>
        <w:ind w:firstLine="540"/>
        <w:jc w:val="both"/>
      </w:pPr>
      <w:r>
        <w:rPr>
          <w:sz w:val="20"/>
        </w:rPr>
        <w:t xml:space="preserve">регистрация в центре занятости населения в целях поиска подходящей работы и (или) в качестве безработного в порядке, установленном законодательством Российской Федерации о занятости населения (за исключением граждан, осужденных к наказанию в виде исправительных работ, не имеющих основного места работы);</w:t>
      </w:r>
    </w:p>
    <w:p>
      <w:pPr>
        <w:pStyle w:val="0"/>
        <w:jc w:val="both"/>
      </w:pPr>
      <w:r>
        <w:rPr>
          <w:sz w:val="20"/>
        </w:rPr>
        <w:t xml:space="preserve">(в ред. </w:t>
      </w:r>
      <w:hyperlink w:history="0" r:id="rId29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представление документов, подтверждающих отнесение их к определенной категории граждан (для граждан, освобожденных из учреждений исполнения наказания в виде лишения свободы, граждан из числа коренных малочисленных народов Севера автономного округа, граждан пенсионного возраста).</w:t>
      </w:r>
    </w:p>
    <w:bookmarkStart w:id="2756" w:name="P2756"/>
    <w:bookmarkEnd w:id="2756"/>
    <w:p>
      <w:pPr>
        <w:pStyle w:val="0"/>
        <w:spacing w:before="200" w:line-rule="auto"/>
        <w:ind w:firstLine="540"/>
        <w:jc w:val="both"/>
      </w:pPr>
      <w:r>
        <w:rPr>
          <w:sz w:val="20"/>
        </w:rPr>
        <w:t xml:space="preserve">1.16. Критериями предоставления бюджетных средств на цели:</w:t>
      </w:r>
    </w:p>
    <w:p>
      <w:pPr>
        <w:pStyle w:val="0"/>
        <w:spacing w:before="200" w:line-rule="auto"/>
        <w:ind w:firstLine="540"/>
        <w:jc w:val="both"/>
      </w:pPr>
      <w:r>
        <w:rPr>
          <w:sz w:val="20"/>
        </w:rPr>
        <w:t xml:space="preserve">1) предусмотренные </w:t>
      </w:r>
      <w:hyperlink w:history="0" w:anchor="P2484" w:tooltip="компенсации по оплате труда;">
        <w:r>
          <w:rPr>
            <w:sz w:val="20"/>
            <w:color w:val="0000ff"/>
          </w:rPr>
          <w:t xml:space="preserve">абзацем вторым пункта 1.4</w:t>
        </w:r>
      </w:hyperlink>
      <w:r>
        <w:rPr>
          <w:sz w:val="20"/>
        </w:rPr>
        <w:t xml:space="preserve"> Порядка, являются:</w:t>
      </w:r>
    </w:p>
    <w:p>
      <w:pPr>
        <w:pStyle w:val="0"/>
        <w:spacing w:before="200" w:line-rule="auto"/>
        <w:ind w:firstLine="540"/>
        <w:jc w:val="both"/>
      </w:pPr>
      <w:r>
        <w:rPr>
          <w:sz w:val="20"/>
        </w:rPr>
        <w:t xml:space="preserve">наличие в центре занятости населения информации о наличии свободных рабочих мест и вакантных должностей для временного трудоустройства граждан, представленной учреждением в соответствии с </w:t>
      </w:r>
      <w:hyperlink w:history="0" r:id="rId29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25</w:t>
        </w:r>
      </w:hyperlink>
      <w:r>
        <w:rPr>
          <w:sz w:val="20"/>
        </w:rPr>
        <w:t xml:space="preserve"> Закона Российской Федерации от 19 апреля 1991 года N 1032-1 "О занятости населения в Российской Федерации" в центр занятости населения;</w:t>
      </w:r>
    </w:p>
    <w:p>
      <w:pPr>
        <w:pStyle w:val="0"/>
        <w:spacing w:before="200" w:line-rule="auto"/>
        <w:ind w:firstLine="540"/>
        <w:jc w:val="both"/>
      </w:pPr>
      <w:r>
        <w:rPr>
          <w:sz w:val="20"/>
        </w:rPr>
        <w:t xml:space="preserve">численность участников мероприятий временного трудоустройства с учетом возможности замещения центром занятости населения заявленной потребности;</w:t>
      </w:r>
    </w:p>
    <w:p>
      <w:pPr>
        <w:pStyle w:val="0"/>
        <w:spacing w:before="200" w:line-rule="auto"/>
        <w:ind w:firstLine="540"/>
        <w:jc w:val="both"/>
      </w:pPr>
      <w:r>
        <w:rPr>
          <w:sz w:val="20"/>
        </w:rPr>
        <w:t xml:space="preserve">2) предусмотренные </w:t>
      </w:r>
      <w:hyperlink w:history="0" w:anchor="P2485" w:tooltip="финансового обеспечения затрат по оснащению (дооснащению) постоянных рабочих мест при реализации мероприятий постоянного трудоустройства (далее - финансовое обеспечение затрат по оснащению (дооснащению) постоянных рабочих мест);">
        <w:r>
          <w:rPr>
            <w:sz w:val="20"/>
            <w:color w:val="0000ff"/>
          </w:rPr>
          <w:t xml:space="preserve">абзацем третьим пункта 1.4</w:t>
        </w:r>
      </w:hyperlink>
      <w:r>
        <w:rPr>
          <w:sz w:val="20"/>
        </w:rPr>
        <w:t xml:space="preserve"> Порядка, является трудоустройство по направлению центра занятости населения незанятого инвалида, родителя, женщины на оснащенное (дооснащенное) постоянное рабочее место, заключение с ним трудового договора;</w:t>
      </w:r>
    </w:p>
    <w:p>
      <w:pPr>
        <w:pStyle w:val="0"/>
        <w:spacing w:before="200" w:line-rule="auto"/>
        <w:ind w:firstLine="540"/>
        <w:jc w:val="both"/>
      </w:pPr>
      <w:r>
        <w:rPr>
          <w:sz w:val="20"/>
        </w:rPr>
        <w:t xml:space="preserve">3) предусмотренные </w:t>
      </w:r>
      <w:hyperlink w:history="0" w:anchor="P2486" w:tooltip="сохранения рабочих мест сотрудников, поступивших на военную службу, и возмещения части расходов учреждения по оплате труда гражданина, трудоустроенного по срочному трудовому договору на рабочее место сотрудника, поступившего на военную службу (для мероприятия, предусмотренного подпунктом 1.2.3 пункта 1.2 Порядка).">
        <w:r>
          <w:rPr>
            <w:sz w:val="20"/>
            <w:color w:val="0000ff"/>
          </w:rPr>
          <w:t xml:space="preserve">абзацем четвертым пункта 1.4</w:t>
        </w:r>
      </w:hyperlink>
      <w:r>
        <w:rPr>
          <w:sz w:val="20"/>
        </w:rPr>
        <w:t xml:space="preserve"> Порядка, являются:</w:t>
      </w:r>
    </w:p>
    <w:p>
      <w:pPr>
        <w:pStyle w:val="0"/>
        <w:jc w:val="both"/>
      </w:pPr>
      <w:r>
        <w:rPr>
          <w:sz w:val="20"/>
        </w:rPr>
        <w:t xml:space="preserve">(в ред. </w:t>
      </w:r>
      <w:hyperlink w:history="0" r:id="rId293"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p>
      <w:pPr>
        <w:pStyle w:val="0"/>
        <w:spacing w:before="200" w:line-rule="auto"/>
        <w:ind w:firstLine="540"/>
        <w:jc w:val="both"/>
      </w:pPr>
      <w:r>
        <w:rPr>
          <w:sz w:val="20"/>
        </w:rPr>
        <w:t xml:space="preserve">наличие сотрудников, поступивших на военную службу;</w:t>
      </w:r>
    </w:p>
    <w:p>
      <w:pPr>
        <w:pStyle w:val="0"/>
        <w:jc w:val="both"/>
      </w:pPr>
      <w:r>
        <w:rPr>
          <w:sz w:val="20"/>
        </w:rPr>
        <w:t xml:space="preserve">(абзац введен </w:t>
      </w:r>
      <w:hyperlink w:history="0" r:id="rId294"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18.11.2022 N 609-п)</w:t>
      </w:r>
    </w:p>
    <w:p>
      <w:pPr>
        <w:pStyle w:val="0"/>
        <w:spacing w:before="200" w:line-rule="auto"/>
        <w:ind w:firstLine="540"/>
        <w:jc w:val="both"/>
      </w:pPr>
      <w:r>
        <w:rPr>
          <w:sz w:val="20"/>
        </w:rPr>
        <w:t xml:space="preserve">наличие представленной учреждением в соответствии с </w:t>
      </w:r>
      <w:hyperlink w:history="0" r:id="rId29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25</w:t>
        </w:r>
      </w:hyperlink>
      <w:r>
        <w:rPr>
          <w:sz w:val="20"/>
        </w:rPr>
        <w:t xml:space="preserve"> Закона Российской Федерации от 19 апреля 1991 года N 1032-1 "О занятости населения в Российской Федерации" информации о наличии свободных рабочих мест и вакантных должностей для временного трудоустройства граждан на рабочие места, сохраняемые за сотрудниками, поступившими на военную службу.</w:t>
      </w:r>
    </w:p>
    <w:p>
      <w:pPr>
        <w:pStyle w:val="0"/>
        <w:jc w:val="both"/>
      </w:pPr>
      <w:r>
        <w:rPr>
          <w:sz w:val="20"/>
        </w:rPr>
        <w:t xml:space="preserve">(абзац введен </w:t>
      </w:r>
      <w:hyperlink w:history="0" r:id="rId296"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18.11.2022 N 609-п)</w:t>
      </w:r>
    </w:p>
    <w:p>
      <w:pPr>
        <w:pStyle w:val="0"/>
        <w:spacing w:before="200" w:line-rule="auto"/>
        <w:ind w:firstLine="540"/>
        <w:jc w:val="both"/>
      </w:pPr>
      <w:r>
        <w:rPr>
          <w:sz w:val="20"/>
        </w:rPr>
        <w:t xml:space="preserve">1.17. Для получения бюджетных средств на цели, предусмотренные </w:t>
      </w:r>
      <w:hyperlink w:history="0" w:anchor="P2485" w:tooltip="финансового обеспечения затрат по оснащению (дооснащению) постоянных рабочих мест при реализации мероприятий постоянного трудоустройства (далее - финансовое обеспечение затрат по оснащению (дооснащению) постоянных рабочих мест);">
        <w:r>
          <w:rPr>
            <w:sz w:val="20"/>
            <w:color w:val="0000ff"/>
          </w:rPr>
          <w:t xml:space="preserve">абзацем третьим пункта 1.4</w:t>
        </w:r>
      </w:hyperlink>
      <w:r>
        <w:rPr>
          <w:sz w:val="20"/>
        </w:rPr>
        <w:t xml:space="preserve"> Порядка, учреждение представляет в центр занятости населения документы, предусмотренные </w:t>
      </w:r>
      <w:hyperlink w:history="0" w:anchor="P2772" w:tooltip="2.1. Для получения бюджетных средств учреждение представляет в центр занятости населения по месту своего нахождения следующие документы:">
        <w:r>
          <w:rPr>
            <w:sz w:val="20"/>
            <w:color w:val="0000ff"/>
          </w:rPr>
          <w:t xml:space="preserve">пунктом 2.1</w:t>
        </w:r>
      </w:hyperlink>
      <w:r>
        <w:rPr>
          <w:sz w:val="20"/>
        </w:rPr>
        <w:t xml:space="preserve"> Порядка, не позднее 3 месяцев с даты заключения с инвалидом, родителем, женщиной трудового договора в соответствии с требованиями Трудового </w:t>
      </w:r>
      <w:hyperlink w:history="0" r:id="rId29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кодекса</w:t>
        </w:r>
      </w:hyperlink>
      <w:r>
        <w:rPr>
          <w:sz w:val="20"/>
        </w:rPr>
        <w:t xml:space="preserve"> Российской Федерации и определения мер, необходимых для оснащения (дооснащения) постоянного рабочего места в соответствии с установленными требованиями к рабочему месту.</w:t>
      </w:r>
    </w:p>
    <w:p>
      <w:pPr>
        <w:pStyle w:val="0"/>
        <w:jc w:val="both"/>
      </w:pPr>
      <w:r>
        <w:rPr>
          <w:sz w:val="20"/>
        </w:rPr>
      </w:r>
    </w:p>
    <w:p>
      <w:pPr>
        <w:pStyle w:val="2"/>
        <w:outlineLvl w:val="1"/>
        <w:jc w:val="center"/>
      </w:pPr>
      <w:r>
        <w:rPr>
          <w:sz w:val="20"/>
        </w:rPr>
        <w:t xml:space="preserve">2. Условия отбора учреждений для участия в мероприятиях</w:t>
      </w:r>
    </w:p>
    <w:p>
      <w:pPr>
        <w:pStyle w:val="2"/>
        <w:jc w:val="center"/>
      </w:pPr>
      <w:r>
        <w:rPr>
          <w:sz w:val="20"/>
        </w:rPr>
        <w:t xml:space="preserve">временного и постоянного трудоустройства</w:t>
      </w:r>
    </w:p>
    <w:p>
      <w:pPr>
        <w:pStyle w:val="0"/>
        <w:jc w:val="both"/>
      </w:pPr>
      <w:r>
        <w:rPr>
          <w:sz w:val="20"/>
        </w:rPr>
      </w:r>
    </w:p>
    <w:bookmarkStart w:id="2772" w:name="P2772"/>
    <w:bookmarkEnd w:id="2772"/>
    <w:p>
      <w:pPr>
        <w:pStyle w:val="0"/>
        <w:ind w:firstLine="540"/>
        <w:jc w:val="both"/>
      </w:pPr>
      <w:r>
        <w:rPr>
          <w:sz w:val="20"/>
        </w:rPr>
        <w:t xml:space="preserve">2.1. Для получения бюджетных средств учреждение представляет в центр занятости населения по месту своего нахождения следующие документы:</w:t>
      </w:r>
    </w:p>
    <w:p>
      <w:pPr>
        <w:pStyle w:val="0"/>
        <w:spacing w:before="200" w:line-rule="auto"/>
        <w:ind w:firstLine="540"/>
        <w:jc w:val="both"/>
      </w:pPr>
      <w:r>
        <w:rPr>
          <w:sz w:val="20"/>
        </w:rPr>
        <w:t xml:space="preserve">заявление по форме, утвержденной Департаментом;</w:t>
      </w:r>
    </w:p>
    <w:p>
      <w:pPr>
        <w:pStyle w:val="0"/>
        <w:spacing w:before="200" w:line-rule="auto"/>
        <w:ind w:firstLine="540"/>
        <w:jc w:val="both"/>
      </w:pPr>
      <w:r>
        <w:rPr>
          <w:sz w:val="20"/>
        </w:rPr>
        <w:t xml:space="preserve">документы, подтверждающие полномочия лица, действующего от имени учреждения (в случае обращения в центр занятости населения представителя учреждения).</w:t>
      </w:r>
    </w:p>
    <w:p>
      <w:pPr>
        <w:pStyle w:val="0"/>
        <w:spacing w:before="200" w:line-rule="auto"/>
        <w:ind w:firstLine="540"/>
        <w:jc w:val="both"/>
      </w:pPr>
      <w:r>
        <w:rPr>
          <w:sz w:val="20"/>
        </w:rPr>
        <w:t xml:space="preserve">2.2. В заявлении учреждение подтверждает соответствие требованиям, указанным в </w:t>
      </w:r>
      <w:hyperlink w:history="0" w:anchor="P2776" w:tooltip="2.3. Для участия в мероприятиях учреждение должно соответствовать на момент представления документов, предусмотренных пунктом 2.1 Порядка, следующим требованиям:">
        <w:r>
          <w:rPr>
            <w:sz w:val="20"/>
            <w:color w:val="0000ff"/>
          </w:rPr>
          <w:t xml:space="preserve">пункте 2.3</w:t>
        </w:r>
      </w:hyperlink>
      <w:r>
        <w:rPr>
          <w:sz w:val="20"/>
        </w:rPr>
        <w:t xml:space="preserve"> Порядка, и дает согласие на проверку центром занятости населения его соответствия данным требованиям.</w:t>
      </w:r>
    </w:p>
    <w:bookmarkStart w:id="2776" w:name="P2776"/>
    <w:bookmarkEnd w:id="2776"/>
    <w:p>
      <w:pPr>
        <w:pStyle w:val="0"/>
        <w:spacing w:before="200" w:line-rule="auto"/>
        <w:ind w:firstLine="540"/>
        <w:jc w:val="both"/>
      </w:pPr>
      <w:r>
        <w:rPr>
          <w:sz w:val="20"/>
        </w:rPr>
        <w:t xml:space="preserve">2.3. Для участия в мероприятиях учреждение должно соответствовать на момент представления документов, предусмотренных </w:t>
      </w:r>
      <w:hyperlink w:history="0" w:anchor="P2772" w:tooltip="2.1. Для получения бюджетных средств учреждение представляет в центр занятости населения по месту своего нахождения следующие документы:">
        <w:r>
          <w:rPr>
            <w:sz w:val="20"/>
            <w:color w:val="0000ff"/>
          </w:rPr>
          <w:t xml:space="preserve">пунктом 2.1</w:t>
        </w:r>
      </w:hyperlink>
      <w:r>
        <w:rPr>
          <w:sz w:val="20"/>
        </w:rPr>
        <w:t xml:space="preserve"> Порядка, следующим требованиям:</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не находиться в процессе реорганизации,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2.4. Документы, указанные в </w:t>
      </w:r>
      <w:hyperlink w:history="0" w:anchor="P2772" w:tooltip="2.1. Для получения бюджетных средств учреждение представляет в центр занятости населения по месту своего нахождения следующие документы:">
        <w:r>
          <w:rPr>
            <w:sz w:val="20"/>
            <w:color w:val="0000ff"/>
          </w:rPr>
          <w:t xml:space="preserve">пункте 2.1</w:t>
        </w:r>
      </w:hyperlink>
      <w:r>
        <w:rPr>
          <w:sz w:val="20"/>
        </w:rPr>
        <w:t xml:space="preserve"> Порядка, регистрируются в журнале регистрации в день их поступления.</w:t>
      </w:r>
    </w:p>
    <w:p>
      <w:pPr>
        <w:pStyle w:val="0"/>
        <w:spacing w:before="200" w:line-rule="auto"/>
        <w:ind w:firstLine="540"/>
        <w:jc w:val="both"/>
      </w:pPr>
      <w:r>
        <w:rPr>
          <w:sz w:val="20"/>
        </w:rPr>
        <w:t xml:space="preserve">2.5. В случае представления учреждением заявления, указанного в </w:t>
      </w:r>
      <w:hyperlink w:history="0" w:anchor="P2772" w:tooltip="2.1. Для получения бюджетных средств учреждение представляет в центр занятости населения по месту своего нахождения следующие документы:">
        <w:r>
          <w:rPr>
            <w:sz w:val="20"/>
            <w:color w:val="0000ff"/>
          </w:rPr>
          <w:t xml:space="preserve">пункте 2.1</w:t>
        </w:r>
      </w:hyperlink>
      <w:r>
        <w:rPr>
          <w:sz w:val="20"/>
        </w:rPr>
        <w:t xml:space="preserve"> Порядка, не соответствующего установленным Департаментом требованиям, заявление с приложенными к нему документами возвращается учреждению в день его поступления с указанием причины возврата.</w:t>
      </w:r>
    </w:p>
    <w:p>
      <w:pPr>
        <w:pStyle w:val="0"/>
        <w:spacing w:before="200" w:line-rule="auto"/>
        <w:ind w:firstLine="540"/>
        <w:jc w:val="both"/>
      </w:pPr>
      <w:r>
        <w:rPr>
          <w:sz w:val="20"/>
        </w:rPr>
        <w:t xml:space="preserve">2.6. В течение 7 рабочих дней со дня регистрации документов, указанных в </w:t>
      </w:r>
      <w:hyperlink w:history="0" w:anchor="P2772" w:tooltip="2.1. Для получения бюджетных средств учреждение представляет в центр занятости населения по месту своего нахождения следующие документы:">
        <w:r>
          <w:rPr>
            <w:sz w:val="20"/>
            <w:color w:val="0000ff"/>
          </w:rPr>
          <w:t xml:space="preserve">пункте 2.1</w:t>
        </w:r>
      </w:hyperlink>
      <w:r>
        <w:rPr>
          <w:sz w:val="20"/>
        </w:rPr>
        <w:t xml:space="preserve"> Порядка, в целях проверки учреждения на соответствие требованиям, установленным </w:t>
      </w:r>
      <w:hyperlink w:history="0" w:anchor="P2776" w:tooltip="2.3. Для участия в мероприятиях учреждение должно соответствовать на момент представления документов, предусмотренных пунктом 2.1 Порядка, следующим требованиям:">
        <w:r>
          <w:rPr>
            <w:sz w:val="20"/>
            <w:color w:val="0000ff"/>
          </w:rPr>
          <w:t xml:space="preserve">пунктом 2.3</w:t>
        </w:r>
      </w:hyperlink>
      <w:r>
        <w:rPr>
          <w:sz w:val="20"/>
        </w:rPr>
        <w:t xml:space="preserve"> Порядка, центр занятости населения получает в порядке межведомственного взаимодействия в соответствии с законодательством Российской Федерации:</w:t>
      </w:r>
    </w:p>
    <w:bookmarkStart w:id="2782" w:name="P2782"/>
    <w:bookmarkEnd w:id="2782"/>
    <w:p>
      <w:pPr>
        <w:pStyle w:val="0"/>
        <w:spacing w:before="200" w:line-rule="auto"/>
        <w:ind w:firstLine="540"/>
        <w:jc w:val="both"/>
      </w:pPr>
      <w:r>
        <w:rPr>
          <w:sz w:val="20"/>
        </w:rPr>
        <w:t xml:space="preserve">выписку из Единого государственного реестра юридических лиц (в Федеральной налоговой службе);</w:t>
      </w:r>
    </w:p>
    <w:bookmarkStart w:id="2783" w:name="P2783"/>
    <w:bookmarkEnd w:id="2783"/>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pPr>
        <w:pStyle w:val="0"/>
        <w:spacing w:before="200" w:line-rule="auto"/>
        <w:ind w:firstLine="540"/>
        <w:jc w:val="both"/>
      </w:pPr>
      <w:r>
        <w:rPr>
          <w:sz w:val="20"/>
        </w:rPr>
        <w:t xml:space="preserve">Учреждение вправе представить документы, указанные в </w:t>
      </w:r>
      <w:hyperlink w:history="0" w:anchor="P2782" w:tooltip="выписку из Единого государственного реестра юридических лиц (в Федеральной налоговой службе);">
        <w:r>
          <w:rPr>
            <w:sz w:val="20"/>
            <w:color w:val="0000ff"/>
          </w:rPr>
          <w:t xml:space="preserve">абзацах втором</w:t>
        </w:r>
      </w:hyperlink>
      <w:r>
        <w:rPr>
          <w:sz w:val="20"/>
        </w:rPr>
        <w:t xml:space="preserve">, </w:t>
      </w:r>
      <w:hyperlink w:history="0" w:anchor="P2783" w:tooltip="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w:r>
          <w:rPr>
            <w:sz w:val="20"/>
            <w:color w:val="0000ff"/>
          </w:rPr>
          <w:t xml:space="preserve">третьем</w:t>
        </w:r>
      </w:hyperlink>
      <w:r>
        <w:rPr>
          <w:sz w:val="20"/>
        </w:rPr>
        <w:t xml:space="preserve"> настоящего пункта, по собственной инициативе.</w:t>
      </w:r>
    </w:p>
    <w:bookmarkStart w:id="2785" w:name="P2785"/>
    <w:bookmarkEnd w:id="2785"/>
    <w:p>
      <w:pPr>
        <w:pStyle w:val="0"/>
        <w:spacing w:before="200" w:line-rule="auto"/>
        <w:ind w:firstLine="540"/>
        <w:jc w:val="both"/>
      </w:pPr>
      <w:r>
        <w:rPr>
          <w:sz w:val="20"/>
        </w:rPr>
        <w:t xml:space="preserve">2.7.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учреждение в течение 1 рабочего дня со дня получения сведений.</w:t>
      </w:r>
    </w:p>
    <w:p>
      <w:pPr>
        <w:pStyle w:val="0"/>
        <w:spacing w:before="200" w:line-rule="auto"/>
        <w:ind w:firstLine="540"/>
        <w:jc w:val="both"/>
      </w:pPr>
      <w:r>
        <w:rPr>
          <w:sz w:val="20"/>
        </w:rPr>
        <w:t xml:space="preserve">2.7.1. Учреждение имеет право в течение 5 рабочих дней со дня получения уведомления, указанного в </w:t>
      </w:r>
      <w:hyperlink w:history="0" w:anchor="P2785" w:tooltip="2.7.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центр занятости населения уведомляет об этом учреждение в течение 1 рабочего дня со дня получения сведений.">
        <w:r>
          <w:rPr>
            <w:sz w:val="20"/>
            <w:color w:val="0000ff"/>
          </w:rPr>
          <w:t xml:space="preserve">абзаце первом</w:t>
        </w:r>
      </w:hyperlink>
      <w:r>
        <w:rPr>
          <w:sz w:val="20"/>
        </w:rPr>
        <w:t xml:space="preserve"> настоящего пункта, представить на бумажном носителе в центр занятости населения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p>
      <w:pPr>
        <w:pStyle w:val="0"/>
        <w:spacing w:before="200" w:line-rule="auto"/>
        <w:ind w:firstLine="540"/>
        <w:jc w:val="both"/>
      </w:pPr>
      <w:r>
        <w:rPr>
          <w:sz w:val="20"/>
        </w:rPr>
        <w:t xml:space="preserve">2.7.2. В целях проверки достоверности сведений, указанных в справке, центр занятости населения получает в течение 7 рабочих дней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p>
      <w:pPr>
        <w:pStyle w:val="0"/>
        <w:spacing w:before="200" w:line-rule="auto"/>
        <w:ind w:firstLine="540"/>
        <w:jc w:val="both"/>
      </w:pPr>
      <w:r>
        <w:rPr>
          <w:sz w:val="20"/>
        </w:rPr>
        <w:t xml:space="preserve">2.7.3. Для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 на основании списка учреждений и количества сотрудников этих учреждений, поступивших на военную службу, представляемого Военным комиссариатом автономного округа.</w:t>
      </w:r>
    </w:p>
    <w:p>
      <w:pPr>
        <w:pStyle w:val="0"/>
        <w:jc w:val="both"/>
      </w:pPr>
      <w:r>
        <w:rPr>
          <w:sz w:val="20"/>
        </w:rPr>
        <w:t xml:space="preserve">(пп. 2.7.3 введен </w:t>
      </w:r>
      <w:hyperlink w:history="0" r:id="rId298"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p>
      <w:pPr>
        <w:pStyle w:val="0"/>
        <w:spacing w:before="200" w:line-rule="auto"/>
        <w:ind w:firstLine="540"/>
        <w:jc w:val="both"/>
      </w:pPr>
      <w:r>
        <w:rPr>
          <w:sz w:val="20"/>
        </w:rPr>
        <w:t xml:space="preserve">2.8. В течение 1 рабочего дня после окончания проверки учреждения на соответствие требованиям, установленным </w:t>
      </w:r>
      <w:hyperlink w:history="0" w:anchor="P2776" w:tooltip="2.3. Для участия в мероприятиях учреждение должно соответствовать на момент представления документов, предусмотренных пунктом 2.1 Порядка, следующим требованиям:">
        <w:r>
          <w:rPr>
            <w:sz w:val="20"/>
            <w:color w:val="0000ff"/>
          </w:rPr>
          <w:t xml:space="preserve">пунктом 2.3</w:t>
        </w:r>
      </w:hyperlink>
      <w:r>
        <w:rPr>
          <w:sz w:val="20"/>
        </w:rPr>
        <w:t xml:space="preserve"> Порядка, и критериям, предусмотренным </w:t>
      </w:r>
      <w:hyperlink w:history="0" w:anchor="P2756" w:tooltip="1.16. Критериями предоставления бюджетных средств на цели:">
        <w:r>
          <w:rPr>
            <w:sz w:val="20"/>
            <w:color w:val="0000ff"/>
          </w:rPr>
          <w:t xml:space="preserve">пунктом 1.16</w:t>
        </w:r>
      </w:hyperlink>
      <w:r>
        <w:rPr>
          <w:sz w:val="20"/>
        </w:rPr>
        <w:t xml:space="preserve"> Порядка, центр занятости населения принимает решение о предоставлении или об отказе в предоставлении бюджетных средств (далее - решение о предоставлении (об отказе в предоставлении) бюджетных средств).</w:t>
      </w:r>
    </w:p>
    <w:bookmarkStart w:id="2791" w:name="P2791"/>
    <w:bookmarkEnd w:id="2791"/>
    <w:p>
      <w:pPr>
        <w:pStyle w:val="0"/>
        <w:spacing w:before="200" w:line-rule="auto"/>
        <w:ind w:firstLine="540"/>
        <w:jc w:val="both"/>
      </w:pPr>
      <w:r>
        <w:rPr>
          <w:sz w:val="20"/>
        </w:rPr>
        <w:t xml:space="preserve">2.9. В течение 1 рабочего дня со дня принятия решения о предоставлении (об отказе в предоставлении) бюджетных средств центр занятости населения направляет учреждению сопроводительным письмом решение о предоставлении бюджетных средств и проект договора о реализации мероприятий по утвержденным Департаментом формам с указанием сроков представления подписанного учреждением договора о реализации мероприятий либо мотивированный отказ в предоставлении бюджетных средств по основаниям, предусмотренным </w:t>
      </w:r>
      <w:hyperlink w:history="0" w:anchor="P2796" w:tooltip="2.10. Основаниями для отказа в предоставлении бюджетных средств являются:">
        <w:r>
          <w:rPr>
            <w:sz w:val="20"/>
            <w:color w:val="0000ff"/>
          </w:rPr>
          <w:t xml:space="preserve">пунктом 2.10</w:t>
        </w:r>
      </w:hyperlink>
      <w:r>
        <w:rPr>
          <w:sz w:val="20"/>
        </w:rPr>
        <w:t xml:space="preserve"> Порядка.</w:t>
      </w:r>
    </w:p>
    <w:p>
      <w:pPr>
        <w:pStyle w:val="0"/>
        <w:spacing w:before="200" w:line-rule="auto"/>
        <w:ind w:firstLine="540"/>
        <w:jc w:val="both"/>
      </w:pPr>
      <w:r>
        <w:rPr>
          <w:sz w:val="20"/>
        </w:rPr>
        <w:t xml:space="preserve">Подписанный проект договора о реализации мероприятий учреждение направляет в центр занятости населения не позднее 15 рабочих дней со дня получения документов, указанных в </w:t>
      </w:r>
      <w:hyperlink w:history="0" w:anchor="P2791" w:tooltip="2.9. В течение 1 рабочего дня со дня принятия решения о предоставлении (об отказе в предоставлении) бюджетных средств центр занятости населения направляет учреждению сопроводительным письмом решение о предоставлении бюджетных средств и проект договора о реализации мероприятий по утвержденным Департаментом формам с указанием сроков представления подписанного учреждением договора о реализации мероприятий либо мотивированный отказ в предоставлении бюджетных средств по основаниям, предусмотренным пунктом 2.1...">
        <w:r>
          <w:rPr>
            <w:sz w:val="20"/>
            <w:color w:val="0000ff"/>
          </w:rPr>
          <w:t xml:space="preserve">абзаце первом</w:t>
        </w:r>
      </w:hyperlink>
      <w:r>
        <w:rPr>
          <w:sz w:val="20"/>
        </w:rPr>
        <w:t xml:space="preserve"> настоящего пункта (в случае почтового отправления днем получения уведомления считается дата, указанная на штампе почтового отделения по месту нахождения учреждения).</w:t>
      </w:r>
    </w:p>
    <w:p>
      <w:pPr>
        <w:pStyle w:val="0"/>
        <w:spacing w:before="200" w:line-rule="auto"/>
        <w:ind w:firstLine="540"/>
        <w:jc w:val="both"/>
      </w:pPr>
      <w:r>
        <w:rPr>
          <w:sz w:val="20"/>
        </w:rPr>
        <w:t xml:space="preserve">В случае непредставления в установленные сроки подписанного договора о реализации мероприятий учреждение считается отказавшимся от получения бюджетных средств.</w:t>
      </w:r>
    </w:p>
    <w:p>
      <w:pPr>
        <w:pStyle w:val="0"/>
        <w:spacing w:before="200" w:line-rule="auto"/>
        <w:ind w:firstLine="540"/>
        <w:jc w:val="both"/>
      </w:pPr>
      <w:r>
        <w:rPr>
          <w:sz w:val="20"/>
        </w:rPr>
        <w:t xml:space="preserve">Для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 в договор о реализации мероприятия включается обязательство учреждения о сохранении рабочего места сотруднику, поступившему на военную службу, на период исполнения им обязательств, предусмотренных </w:t>
      </w:r>
      <w:hyperlink w:history="0" w:anchor="P2471" w:tooltip="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заключением контракта, призывом на военную службу по мобилизации в Вооруженные Силы Российской Федерации;">
        <w:r>
          <w:rPr>
            <w:sz w:val="20"/>
            <w:color w:val="0000ff"/>
          </w:rPr>
          <w:t xml:space="preserve">абзацем пятнадцатым пункта 1.3</w:t>
        </w:r>
      </w:hyperlink>
      <w:r>
        <w:rPr>
          <w:sz w:val="20"/>
        </w:rPr>
        <w:t xml:space="preserve"> Порядка.</w:t>
      </w:r>
    </w:p>
    <w:p>
      <w:pPr>
        <w:pStyle w:val="0"/>
        <w:jc w:val="both"/>
      </w:pPr>
      <w:r>
        <w:rPr>
          <w:sz w:val="20"/>
        </w:rPr>
        <w:t xml:space="preserve">(абзац введен </w:t>
      </w:r>
      <w:hyperlink w:history="0" r:id="rId299"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bookmarkStart w:id="2796" w:name="P2796"/>
    <w:bookmarkEnd w:id="2796"/>
    <w:p>
      <w:pPr>
        <w:pStyle w:val="0"/>
        <w:spacing w:before="200" w:line-rule="auto"/>
        <w:ind w:firstLine="540"/>
        <w:jc w:val="both"/>
      </w:pPr>
      <w:r>
        <w:rPr>
          <w:sz w:val="20"/>
        </w:rPr>
        <w:t xml:space="preserve">2.10. Основаниями для отказа в предоставлении бюджетных средств являются:</w:t>
      </w:r>
    </w:p>
    <w:p>
      <w:pPr>
        <w:pStyle w:val="0"/>
        <w:spacing w:before="200" w:line-rule="auto"/>
        <w:ind w:firstLine="540"/>
        <w:jc w:val="both"/>
      </w:pPr>
      <w:r>
        <w:rPr>
          <w:sz w:val="20"/>
        </w:rPr>
        <w:t xml:space="preserve">представление учреждением в центр занятости населения недостоверных и (или) искаженных сведений и документов, предусмотренных </w:t>
      </w:r>
      <w:hyperlink w:history="0" w:anchor="P2772" w:tooltip="2.1. Для получения бюджетных средств учреждение представляет в центр занятости населения по месту своего нахождения следующие документы:">
        <w:r>
          <w:rPr>
            <w:sz w:val="20"/>
            <w:color w:val="0000ff"/>
          </w:rPr>
          <w:t xml:space="preserve">пунктом 2.1</w:t>
        </w:r>
      </w:hyperlink>
      <w:r>
        <w:rPr>
          <w:sz w:val="20"/>
        </w:rPr>
        <w:t xml:space="preserve"> Порядка, или их непредставление (представление не в полном объеме);</w:t>
      </w:r>
    </w:p>
    <w:p>
      <w:pPr>
        <w:pStyle w:val="0"/>
        <w:spacing w:before="200" w:line-rule="auto"/>
        <w:ind w:firstLine="540"/>
        <w:jc w:val="both"/>
      </w:pPr>
      <w:r>
        <w:rPr>
          <w:sz w:val="20"/>
        </w:rPr>
        <w:t xml:space="preserve">несоответствие учреждения требованиям, установленным </w:t>
      </w:r>
      <w:hyperlink w:history="0" w:anchor="P2776" w:tooltip="2.3. Для участия в мероприятиях учреждение должно соответствовать на момент представления документов, предусмотренных пунктом 2.1 Порядка, следующим требованиям:">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несоответствие учреждения критериям, предусмотренным </w:t>
      </w:r>
      <w:hyperlink w:history="0" w:anchor="P2756" w:tooltip="1.16. Критериями предоставления бюджетных средств на цели:">
        <w:r>
          <w:rPr>
            <w:sz w:val="20"/>
            <w:color w:val="0000ff"/>
          </w:rPr>
          <w:t xml:space="preserve">пунктом 1.16</w:t>
        </w:r>
      </w:hyperlink>
      <w:r>
        <w:rPr>
          <w:sz w:val="20"/>
        </w:rPr>
        <w:t xml:space="preserve"> Порядка.</w:t>
      </w:r>
    </w:p>
    <w:p>
      <w:pPr>
        <w:pStyle w:val="0"/>
        <w:spacing w:before="200" w:line-rule="auto"/>
        <w:ind w:firstLine="540"/>
        <w:jc w:val="both"/>
      </w:pPr>
      <w:r>
        <w:rPr>
          <w:sz w:val="20"/>
        </w:rPr>
        <w:t xml:space="preserve">2.11. Учреждению - участнику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 выплата бюджетных средств в период действия договора о реализации мероприятия прекращается при возобновлении трудовой деятельности сотрудником, поступившим на военную службу, после исполнения им обязательств, предусмотренных </w:t>
      </w:r>
      <w:hyperlink w:history="0" w:anchor="P2471" w:tooltip="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заключением контракта, призывом на военную службу по мобилизации в Вооруженные Силы Российской Федерации;">
        <w:r>
          <w:rPr>
            <w:sz w:val="20"/>
            <w:color w:val="0000ff"/>
          </w:rPr>
          <w:t xml:space="preserve">абзацем пятнадцатым пункта 1.3</w:t>
        </w:r>
      </w:hyperlink>
      <w:r>
        <w:rPr>
          <w:sz w:val="20"/>
        </w:rPr>
        <w:t xml:space="preserve"> Порядка, либо в случае его гибели.</w:t>
      </w:r>
    </w:p>
    <w:p>
      <w:pPr>
        <w:pStyle w:val="0"/>
        <w:jc w:val="both"/>
      </w:pPr>
      <w:r>
        <w:rPr>
          <w:sz w:val="20"/>
        </w:rPr>
        <w:t xml:space="preserve">(п. 2.11 введен </w:t>
      </w:r>
      <w:hyperlink w:history="0" r:id="rId300"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p>
      <w:pPr>
        <w:pStyle w:val="0"/>
        <w:jc w:val="both"/>
      </w:pPr>
      <w:r>
        <w:rPr>
          <w:sz w:val="20"/>
        </w:rPr>
      </w:r>
    </w:p>
    <w:p>
      <w:pPr>
        <w:pStyle w:val="2"/>
        <w:outlineLvl w:val="1"/>
        <w:jc w:val="center"/>
      </w:pPr>
      <w:r>
        <w:rPr>
          <w:sz w:val="20"/>
        </w:rPr>
        <w:t xml:space="preserve">3. Предоставление бюджетных средств государственным</w:t>
      </w:r>
    </w:p>
    <w:p>
      <w:pPr>
        <w:pStyle w:val="2"/>
        <w:jc w:val="center"/>
      </w:pPr>
      <w:r>
        <w:rPr>
          <w:sz w:val="20"/>
        </w:rPr>
        <w:t xml:space="preserve">учреждениям автономного округа и муниципальным учреждениям</w:t>
      </w:r>
    </w:p>
    <w:p>
      <w:pPr>
        <w:pStyle w:val="0"/>
        <w:jc w:val="both"/>
      </w:pPr>
      <w:r>
        <w:rPr>
          <w:sz w:val="20"/>
        </w:rPr>
      </w:r>
    </w:p>
    <w:p>
      <w:pPr>
        <w:pStyle w:val="0"/>
        <w:ind w:firstLine="540"/>
        <w:jc w:val="both"/>
      </w:pPr>
      <w:r>
        <w:rPr>
          <w:sz w:val="20"/>
        </w:rPr>
        <w:t xml:space="preserve">3.1. Бюджетные средства предоставляются:</w:t>
      </w:r>
    </w:p>
    <w:p>
      <w:pPr>
        <w:pStyle w:val="0"/>
        <w:spacing w:before="200" w:line-rule="auto"/>
        <w:ind w:firstLine="540"/>
        <w:jc w:val="both"/>
      </w:pPr>
      <w:r>
        <w:rPr>
          <w:sz w:val="20"/>
        </w:rPr>
        <w:t xml:space="preserve">государственным учреждениям автономного округа путем перемещения бюджетных ассигнований между Департаментом и исполнительным органом автономного округа, в ведении которого находится государственное учреждение автономного округа, с внесением изменений в сводную бюджетную роспись. Исполнительный орган автономного округа, в ведении которого находится государственное учреждение автономного округа, передает бюджетные средства бюджетным и автономным учреждениям в виде субсидии на иные цели, казенным учреждениям автономного округа - по бюджетной смете;</w:t>
      </w:r>
    </w:p>
    <w:p>
      <w:pPr>
        <w:pStyle w:val="0"/>
        <w:jc w:val="both"/>
      </w:pPr>
      <w:r>
        <w:rPr>
          <w:sz w:val="20"/>
        </w:rPr>
        <w:t xml:space="preserve">(в ред. </w:t>
      </w:r>
      <w:hyperlink w:history="0" r:id="rId301"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муниципальным учреждениям путем предоставления средств, поступивших в бюджет муниципального образования автономного округа в виде иных межбюджетных трансфертов из бюджета автономного округа бюджетам муниципальных районов и городских округов на реализацию мероприятий по содействию трудоустройству граждан (далее - иные межбюджетные трансферты) в соответствии со сводной бюджетной росписью бюджета автономного округа с последующим перечислением бюджетных средств на счет муниципального учреждения.</w:t>
      </w:r>
    </w:p>
    <w:p>
      <w:pPr>
        <w:pStyle w:val="0"/>
        <w:spacing w:before="200" w:line-rule="auto"/>
        <w:ind w:firstLine="540"/>
        <w:jc w:val="both"/>
      </w:pPr>
      <w:r>
        <w:rPr>
          <w:sz w:val="20"/>
        </w:rPr>
        <w:t xml:space="preserve">3.2. Объем бюджетных средств, предусмотренных государственному учреждению автономного округа, муниципальному учреждению определяется по формуле:</w:t>
      </w:r>
    </w:p>
    <w:p>
      <w:pPr>
        <w:pStyle w:val="0"/>
        <w:jc w:val="both"/>
      </w:pPr>
      <w:r>
        <w:rPr>
          <w:sz w:val="20"/>
        </w:rPr>
      </w:r>
    </w:p>
    <w:p>
      <w:pPr>
        <w:pStyle w:val="0"/>
        <w:jc w:val="center"/>
      </w:pPr>
      <w:r>
        <w:rPr>
          <w:sz w:val="20"/>
        </w:rPr>
        <w:t xml:space="preserve">О</w:t>
      </w:r>
      <w:r>
        <w:rPr>
          <w:sz w:val="20"/>
          <w:vertAlign w:val="subscript"/>
        </w:rPr>
        <w:t xml:space="preserve">i</w:t>
      </w:r>
      <w:r>
        <w:rPr>
          <w:sz w:val="20"/>
        </w:rPr>
        <w:t xml:space="preserve"> = O</w:t>
      </w:r>
      <w:r>
        <w:rPr>
          <w:sz w:val="20"/>
          <w:vertAlign w:val="subscript"/>
        </w:rPr>
        <w:t xml:space="preserve">iв</w:t>
      </w:r>
      <w:r>
        <w:rPr>
          <w:sz w:val="20"/>
        </w:rPr>
        <w:t xml:space="preserve"> + О</w:t>
      </w:r>
      <w:r>
        <w:rPr>
          <w:sz w:val="20"/>
          <w:vertAlign w:val="subscript"/>
        </w:rPr>
        <w:t xml:space="preserve">iп</w:t>
      </w:r>
      <w:r>
        <w:rPr>
          <w:sz w:val="20"/>
        </w:rPr>
        <w:t xml:space="preserve">, где:</w:t>
      </w:r>
    </w:p>
    <w:p>
      <w:pPr>
        <w:pStyle w:val="0"/>
        <w:jc w:val="both"/>
      </w:pPr>
      <w:r>
        <w:rPr>
          <w:sz w:val="20"/>
        </w:rPr>
      </w:r>
    </w:p>
    <w:p>
      <w:pPr>
        <w:pStyle w:val="0"/>
        <w:ind w:firstLine="540"/>
        <w:jc w:val="both"/>
      </w:pPr>
      <w:r>
        <w:rPr>
          <w:sz w:val="20"/>
        </w:rPr>
        <w:t xml:space="preserve">О</w:t>
      </w:r>
      <w:r>
        <w:rPr>
          <w:sz w:val="20"/>
          <w:vertAlign w:val="subscript"/>
        </w:rPr>
        <w:t xml:space="preserve">i</w:t>
      </w:r>
      <w:r>
        <w:rPr>
          <w:sz w:val="20"/>
        </w:rPr>
        <w:t xml:space="preserve"> - общий объем бюджетных средств, предусмотренных учреждению;</w:t>
      </w:r>
    </w:p>
    <w:p>
      <w:pPr>
        <w:pStyle w:val="0"/>
        <w:spacing w:before="200" w:line-rule="auto"/>
        <w:ind w:firstLine="540"/>
        <w:jc w:val="both"/>
      </w:pPr>
      <w:r>
        <w:rPr>
          <w:sz w:val="20"/>
        </w:rPr>
        <w:t xml:space="preserve">O</w:t>
      </w:r>
      <w:r>
        <w:rPr>
          <w:sz w:val="20"/>
          <w:vertAlign w:val="subscript"/>
        </w:rPr>
        <w:t xml:space="preserve">iв</w:t>
      </w:r>
      <w:r>
        <w:rPr>
          <w:sz w:val="20"/>
        </w:rPr>
        <w:t xml:space="preserve"> - объем средств на реализацию мероприятий временного трудоустройства,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w:t>
      </w:r>
    </w:p>
    <w:p>
      <w:pPr>
        <w:pStyle w:val="0"/>
        <w:jc w:val="both"/>
      </w:pPr>
      <w:r>
        <w:rPr>
          <w:sz w:val="20"/>
        </w:rPr>
        <w:t xml:space="preserve">(в ред. </w:t>
      </w:r>
      <w:hyperlink w:history="0" r:id="rId302"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23.09.2022 N 473-п)</w:t>
      </w:r>
    </w:p>
    <w:p>
      <w:pPr>
        <w:pStyle w:val="0"/>
        <w:spacing w:before="200" w:line-rule="auto"/>
        <w:ind w:firstLine="540"/>
        <w:jc w:val="both"/>
      </w:pPr>
      <w:r>
        <w:rPr>
          <w:sz w:val="20"/>
        </w:rPr>
        <w:t xml:space="preserve">O</w:t>
      </w:r>
      <w:r>
        <w:rPr>
          <w:sz w:val="20"/>
          <w:vertAlign w:val="subscript"/>
        </w:rPr>
        <w:t xml:space="preserve">iп</w:t>
      </w:r>
      <w:r>
        <w:rPr>
          <w:sz w:val="20"/>
        </w:rPr>
        <w:t xml:space="preserve"> - объем средств на реализацию мероприятий постоянного трудоустройства.</w:t>
      </w:r>
    </w:p>
    <w:p>
      <w:pPr>
        <w:pStyle w:val="0"/>
        <w:spacing w:before="200" w:line-rule="auto"/>
        <w:ind w:firstLine="540"/>
        <w:jc w:val="both"/>
      </w:pPr>
      <w:r>
        <w:rPr>
          <w:sz w:val="20"/>
        </w:rPr>
        <w:t xml:space="preserve">3.2.1. Объем средств на реализацию мероприятий временного трудоустройства определяется по формуле:</w:t>
      </w:r>
    </w:p>
    <w:p>
      <w:pPr>
        <w:pStyle w:val="0"/>
        <w:jc w:val="both"/>
      </w:pPr>
      <w:r>
        <w:rPr>
          <w:sz w:val="20"/>
        </w:rPr>
      </w:r>
    </w:p>
    <w:p>
      <w:pPr>
        <w:pStyle w:val="0"/>
        <w:jc w:val="center"/>
      </w:pPr>
      <w:r>
        <w:rPr>
          <w:sz w:val="20"/>
        </w:rPr>
        <w:t xml:space="preserve">O</w:t>
      </w:r>
      <w:r>
        <w:rPr>
          <w:sz w:val="20"/>
          <w:vertAlign w:val="subscript"/>
        </w:rPr>
        <w:t xml:space="preserve">iв</w:t>
      </w:r>
      <w:r>
        <w:rPr>
          <w:sz w:val="20"/>
        </w:rPr>
        <w:t xml:space="preserve"> = Н</w:t>
      </w:r>
      <w:r>
        <w:rPr>
          <w:sz w:val="20"/>
          <w:vertAlign w:val="subscript"/>
        </w:rPr>
        <w:t xml:space="preserve">ш</w:t>
      </w:r>
      <w:r>
        <w:rPr>
          <w:sz w:val="20"/>
        </w:rPr>
        <w:t xml:space="preserve"> x N</w:t>
      </w:r>
      <w:r>
        <w:rPr>
          <w:sz w:val="20"/>
          <w:vertAlign w:val="subscript"/>
        </w:rPr>
        <w:t xml:space="preserve">вр</w:t>
      </w:r>
      <w:r>
        <w:rPr>
          <w:sz w:val="20"/>
        </w:rPr>
        <w:t xml:space="preserve"> x П, где:</w:t>
      </w:r>
    </w:p>
    <w:p>
      <w:pPr>
        <w:pStyle w:val="0"/>
        <w:jc w:val="both"/>
      </w:pPr>
      <w:r>
        <w:rPr>
          <w:sz w:val="20"/>
        </w:rPr>
      </w:r>
    </w:p>
    <w:p>
      <w:pPr>
        <w:pStyle w:val="0"/>
        <w:ind w:firstLine="540"/>
        <w:jc w:val="both"/>
      </w:pPr>
      <w:r>
        <w:rPr>
          <w:sz w:val="20"/>
        </w:rPr>
        <w:t xml:space="preserve">O</w:t>
      </w:r>
      <w:r>
        <w:rPr>
          <w:sz w:val="20"/>
          <w:vertAlign w:val="subscript"/>
        </w:rPr>
        <w:t xml:space="preserve">iв</w:t>
      </w:r>
      <w:r>
        <w:rPr>
          <w:sz w:val="20"/>
        </w:rPr>
        <w:t xml:space="preserve"> - объем средств на реализацию мероприятий временного трудоустройства,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w:t>
      </w:r>
    </w:p>
    <w:p>
      <w:pPr>
        <w:pStyle w:val="0"/>
        <w:jc w:val="both"/>
      </w:pPr>
      <w:r>
        <w:rPr>
          <w:sz w:val="20"/>
        </w:rPr>
        <w:t xml:space="preserve">(в ред. </w:t>
      </w:r>
      <w:hyperlink w:history="0" r:id="rId303"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 от 23.09.2022 N 473-п)</w:t>
      </w:r>
    </w:p>
    <w:p>
      <w:pPr>
        <w:pStyle w:val="0"/>
        <w:spacing w:before="200" w:line-rule="auto"/>
        <w:ind w:firstLine="540"/>
        <w:jc w:val="both"/>
      </w:pPr>
      <w:r>
        <w:rPr>
          <w:sz w:val="20"/>
        </w:rPr>
        <w:t xml:space="preserve">Н</w:t>
      </w:r>
      <w:r>
        <w:rPr>
          <w:sz w:val="20"/>
          <w:vertAlign w:val="subscript"/>
        </w:rPr>
        <w:t xml:space="preserve">ш</w:t>
      </w:r>
      <w:r>
        <w:rPr>
          <w:sz w:val="20"/>
        </w:rPr>
        <w:t xml:space="preserve"> - норматив затрат на ежемесячное содержание штатной единицы в соответствии с </w:t>
      </w:r>
      <w:hyperlink w:history="0" w:anchor="P2497" w:tooltip="Размеры компенсации по оплате труда и материальной">
        <w:r>
          <w:rPr>
            <w:sz w:val="20"/>
            <w:color w:val="0000ff"/>
          </w:rPr>
          <w:t xml:space="preserve">таблицей 1</w:t>
        </w:r>
      </w:hyperlink>
      <w:r>
        <w:rPr>
          <w:sz w:val="20"/>
        </w:rPr>
        <w:t xml:space="preserve"> Порядка;</w:t>
      </w:r>
    </w:p>
    <w:p>
      <w:pPr>
        <w:pStyle w:val="0"/>
        <w:spacing w:before="200" w:line-rule="auto"/>
        <w:ind w:firstLine="540"/>
        <w:jc w:val="both"/>
      </w:pPr>
      <w:r>
        <w:rPr>
          <w:sz w:val="20"/>
        </w:rPr>
        <w:t xml:space="preserve">N</w:t>
      </w:r>
      <w:r>
        <w:rPr>
          <w:sz w:val="20"/>
          <w:vertAlign w:val="subscript"/>
        </w:rPr>
        <w:t xml:space="preserve">вр</w:t>
      </w:r>
      <w:r>
        <w:rPr>
          <w:sz w:val="20"/>
        </w:rPr>
        <w:t xml:space="preserve"> - численность граждан, планируемых для временного трудоустройства;</w:t>
      </w:r>
    </w:p>
    <w:p>
      <w:pPr>
        <w:pStyle w:val="0"/>
        <w:spacing w:before="200" w:line-rule="auto"/>
        <w:ind w:firstLine="540"/>
        <w:jc w:val="both"/>
      </w:pPr>
      <w:r>
        <w:rPr>
          <w:sz w:val="20"/>
        </w:rPr>
        <w:t xml:space="preserve">П - период временного трудоустройства граждан.</w:t>
      </w:r>
    </w:p>
    <w:p>
      <w:pPr>
        <w:pStyle w:val="0"/>
        <w:spacing w:before="200" w:line-rule="auto"/>
        <w:ind w:firstLine="540"/>
        <w:jc w:val="both"/>
      </w:pPr>
      <w:r>
        <w:rPr>
          <w:sz w:val="20"/>
        </w:rPr>
        <w:t xml:space="preserve">3.2.2. Объем средств на мероприятия постоянного трудоустройства определяется по формуле:</w:t>
      </w:r>
    </w:p>
    <w:p>
      <w:pPr>
        <w:pStyle w:val="0"/>
        <w:jc w:val="both"/>
      </w:pPr>
      <w:r>
        <w:rPr>
          <w:sz w:val="20"/>
        </w:rPr>
      </w:r>
    </w:p>
    <w:p>
      <w:pPr>
        <w:pStyle w:val="0"/>
        <w:jc w:val="center"/>
      </w:pPr>
      <w:r>
        <w:rPr>
          <w:sz w:val="20"/>
        </w:rPr>
        <w:t xml:space="preserve">O</w:t>
      </w:r>
      <w:r>
        <w:rPr>
          <w:sz w:val="20"/>
          <w:vertAlign w:val="subscript"/>
        </w:rPr>
        <w:t xml:space="preserve">iп</w:t>
      </w:r>
      <w:r>
        <w:rPr>
          <w:sz w:val="20"/>
        </w:rPr>
        <w:t xml:space="preserve"> = Н</w:t>
      </w:r>
      <w:r>
        <w:rPr>
          <w:sz w:val="20"/>
          <w:vertAlign w:val="subscript"/>
        </w:rPr>
        <w:t xml:space="preserve">рм</w:t>
      </w:r>
      <w:r>
        <w:rPr>
          <w:sz w:val="20"/>
        </w:rPr>
        <w:t xml:space="preserve"> x N</w:t>
      </w:r>
      <w:r>
        <w:rPr>
          <w:sz w:val="20"/>
          <w:vertAlign w:val="subscript"/>
        </w:rPr>
        <w:t xml:space="preserve">п</w:t>
      </w:r>
      <w:r>
        <w:rPr>
          <w:sz w:val="20"/>
        </w:rPr>
        <w:t xml:space="preserve">, где:</w:t>
      </w:r>
    </w:p>
    <w:p>
      <w:pPr>
        <w:pStyle w:val="0"/>
        <w:jc w:val="both"/>
      </w:pPr>
      <w:r>
        <w:rPr>
          <w:sz w:val="20"/>
        </w:rPr>
      </w:r>
    </w:p>
    <w:p>
      <w:pPr>
        <w:pStyle w:val="0"/>
        <w:ind w:firstLine="540"/>
        <w:jc w:val="both"/>
      </w:pPr>
      <w:r>
        <w:rPr>
          <w:sz w:val="20"/>
        </w:rPr>
        <w:t xml:space="preserve">O</w:t>
      </w:r>
      <w:r>
        <w:rPr>
          <w:sz w:val="20"/>
          <w:vertAlign w:val="subscript"/>
        </w:rPr>
        <w:t xml:space="preserve">iп</w:t>
      </w:r>
      <w:r>
        <w:rPr>
          <w:sz w:val="20"/>
        </w:rPr>
        <w:t xml:space="preserve"> - объем средств на реализацию мероприятий постоянного трудоустройства;</w:t>
      </w:r>
    </w:p>
    <w:p>
      <w:pPr>
        <w:pStyle w:val="0"/>
        <w:spacing w:before="200" w:line-rule="auto"/>
        <w:ind w:firstLine="540"/>
        <w:jc w:val="both"/>
      </w:pPr>
      <w:r>
        <w:rPr>
          <w:sz w:val="20"/>
        </w:rPr>
        <w:t xml:space="preserve">Н</w:t>
      </w:r>
      <w:r>
        <w:rPr>
          <w:sz w:val="20"/>
          <w:vertAlign w:val="subscript"/>
        </w:rPr>
        <w:t xml:space="preserve">рм</w:t>
      </w:r>
      <w:r>
        <w:rPr>
          <w:sz w:val="20"/>
        </w:rPr>
        <w:t xml:space="preserve"> - норматив затрат на оснащение (дооснащение) 1 рабочего места в соответствии с </w:t>
      </w:r>
      <w:hyperlink w:history="0" w:anchor="P2725" w:tooltip="1.9. Финансовое обеспечение затрат по оснащению (дооснащению) постоянного рабочего места осуществляется в размере, подтвержденном сметой, являющейся неотъемлемой частью заявления, указанного в пункте 2.1 Порядка, но не более:">
        <w:r>
          <w:rPr>
            <w:sz w:val="20"/>
            <w:color w:val="0000ff"/>
          </w:rPr>
          <w:t xml:space="preserve">пунктом 1.9</w:t>
        </w:r>
      </w:hyperlink>
      <w:r>
        <w:rPr>
          <w:sz w:val="20"/>
        </w:rPr>
        <w:t xml:space="preserve"> Порядка;</w:t>
      </w:r>
    </w:p>
    <w:p>
      <w:pPr>
        <w:pStyle w:val="0"/>
        <w:spacing w:before="200" w:line-rule="auto"/>
        <w:ind w:firstLine="540"/>
        <w:jc w:val="both"/>
      </w:pPr>
      <w:r>
        <w:rPr>
          <w:sz w:val="20"/>
        </w:rPr>
        <w:t xml:space="preserve">N</w:t>
      </w:r>
      <w:r>
        <w:rPr>
          <w:sz w:val="20"/>
          <w:vertAlign w:val="subscript"/>
        </w:rPr>
        <w:t xml:space="preserve">п</w:t>
      </w:r>
      <w:r>
        <w:rPr>
          <w:sz w:val="20"/>
        </w:rPr>
        <w:t xml:space="preserve"> - количество оснащаемых (дооснащаемых) постоянных рабочих мест.</w:t>
      </w:r>
    </w:p>
    <w:p>
      <w:pPr>
        <w:pStyle w:val="0"/>
        <w:spacing w:before="200" w:line-rule="auto"/>
        <w:ind w:firstLine="540"/>
        <w:jc w:val="both"/>
      </w:pPr>
      <w:r>
        <w:rPr>
          <w:sz w:val="20"/>
        </w:rPr>
        <w:t xml:space="preserve">3.3. Предоставление бюджетных средств государственным учреждениям автономного округа, муниципальным учреждениям осуществляется в соответствии с планами-графиками перечисления бюджетных средств, предусмотренными договорами о реализации мероприятий.</w:t>
      </w:r>
    </w:p>
    <w:p>
      <w:pPr>
        <w:pStyle w:val="0"/>
        <w:spacing w:before="200" w:line-rule="auto"/>
        <w:ind w:firstLine="540"/>
        <w:jc w:val="both"/>
      </w:pPr>
      <w:r>
        <w:rPr>
          <w:sz w:val="20"/>
        </w:rPr>
        <w:t xml:space="preserve">3.4. Перечисляет бюджетные средства бюджетным и автономным учреждениям автономного округа в виде субсидии на иные цели исполнительный орган автономного округа, осуществляющий функции и полномочия их учредителя, на лицевые счета учреждений, открытые в Департаменте финансов автономного округа, ежедневно в размере потребности на осуществление расходов путем списания денежных средств с лицевого счета учредителя учреждений, открытого в Департаменте финансов автономного округа.</w:t>
      </w:r>
    </w:p>
    <w:p>
      <w:pPr>
        <w:pStyle w:val="0"/>
        <w:jc w:val="both"/>
      </w:pPr>
      <w:r>
        <w:rPr>
          <w:sz w:val="20"/>
        </w:rPr>
        <w:t xml:space="preserve">(в ред. </w:t>
      </w:r>
      <w:hyperlink w:history="0" r:id="rId304"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3.5.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бюджетных средств в размере, определенном в договоре о реализации мероприятий, его стороны согласовывают новые условия в соответствии с законодательством Российской Федерации в порядке, определенном договором о реализации мероприятий.</w:t>
      </w:r>
    </w:p>
    <w:p>
      <w:pPr>
        <w:pStyle w:val="0"/>
        <w:spacing w:before="200" w:line-rule="auto"/>
        <w:ind w:firstLine="540"/>
        <w:jc w:val="both"/>
      </w:pPr>
      <w:r>
        <w:rPr>
          <w:sz w:val="20"/>
        </w:rPr>
        <w:t xml:space="preserve">3.6. Контроль за целевым использованием бюджетных средств учреждениями осуществляет Департамент, а также орган государственного финансового контроля автономного округа путем запроса необходимых документов у государственного учреждения автономного округа, муниципального учреждения либо выездной проверки.</w:t>
      </w:r>
    </w:p>
    <w:bookmarkStart w:id="2839" w:name="P2839"/>
    <w:bookmarkEnd w:id="2839"/>
    <w:p>
      <w:pPr>
        <w:pStyle w:val="0"/>
        <w:spacing w:before="200" w:line-rule="auto"/>
        <w:ind w:firstLine="540"/>
        <w:jc w:val="both"/>
      </w:pPr>
      <w:r>
        <w:rPr>
          <w:sz w:val="20"/>
        </w:rPr>
        <w:t xml:space="preserve">3.7. В случае нарушения условий предоставления бюджетных средств (расходование не по целевому назначению, выявление факта представления недостоверных (неполных) сведений, установления факта сокрытия учреждением возобновления трудовой деятельности сотрудником, поступившим на военную службу, после исполнения им обязательств, предусмотренных </w:t>
      </w:r>
      <w:hyperlink w:history="0" w:anchor="P2471" w:tooltip="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заключением контракта, призывом на военную службу по мобилизации в Вооруженные Силы Российской Федерации;">
        <w:r>
          <w:rPr>
            <w:sz w:val="20"/>
            <w:color w:val="0000ff"/>
          </w:rPr>
          <w:t xml:space="preserve">абзацем пятнадцатым пункта 1.3</w:t>
        </w:r>
      </w:hyperlink>
      <w:r>
        <w:rPr>
          <w:sz w:val="20"/>
        </w:rPr>
        <w:t xml:space="preserve"> Порядка, либо факта сокрытия его гибели (для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 центр занятости населения направляет государственному учреждению автономного округа, муниципальному учреждению в течение 5 рабочих дней со дня выявления такого факта мотивированное требование о возврате бюджетных средств.</w:t>
      </w:r>
    </w:p>
    <w:p>
      <w:pPr>
        <w:pStyle w:val="0"/>
        <w:jc w:val="both"/>
      </w:pPr>
      <w:r>
        <w:rPr>
          <w:sz w:val="20"/>
        </w:rPr>
        <w:t xml:space="preserve">(в ред. постановлений Правительства ХМАО - Югры от 23.09.2022 </w:t>
      </w:r>
      <w:hyperlink w:history="0" r:id="rId305"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N 473-п</w:t>
        </w:r>
      </w:hyperlink>
      <w:r>
        <w:rPr>
          <w:sz w:val="20"/>
        </w:rPr>
        <w:t xml:space="preserve">, от 18.11.2022 </w:t>
      </w:r>
      <w:hyperlink w:history="0" r:id="rId306"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609-п</w:t>
        </w:r>
      </w:hyperlink>
      <w:r>
        <w:rPr>
          <w:sz w:val="20"/>
        </w:rPr>
        <w:t xml:space="preserve">)</w:t>
      </w:r>
    </w:p>
    <w:p>
      <w:pPr>
        <w:pStyle w:val="0"/>
        <w:spacing w:before="200" w:line-rule="auto"/>
        <w:ind w:firstLine="540"/>
        <w:jc w:val="both"/>
      </w:pPr>
      <w:r>
        <w:rPr>
          <w:sz w:val="20"/>
        </w:rPr>
        <w:t xml:space="preserve">3.8. Бюджетные средства либо их часть подлежат возврату в бюджет автономного округа в течение 10 дней с даты получения соответствующего мотивированного требования, указанного в </w:t>
      </w:r>
      <w:hyperlink w:history="0" w:anchor="P2839" w:tooltip="3.7. В случае нарушения условий предоставления бюджетных средств (расходование не по целевому назначению, выявление факта представления недостоверных (неполных) сведений, установления факта сокрытия учреждением возобновления трудовой деятельности сотрудником, поступившим на военную службу, после исполнения им обязательств, предусмотренных абзацем пятнадцатым пункта 1.3 Порядка, либо факта сокрытия его гибели (для мероприятия, предусмотренного подпунктом 1.2.3 пункта 1.2 Порядка)) центр занятости населени...">
        <w:r>
          <w:rPr>
            <w:sz w:val="20"/>
            <w:color w:val="0000ff"/>
          </w:rPr>
          <w:t xml:space="preserve">пункте 3.7</w:t>
        </w:r>
      </w:hyperlink>
      <w:r>
        <w:rPr>
          <w:sz w:val="20"/>
        </w:rPr>
        <w:t xml:space="preserve"> Порядка.</w:t>
      </w:r>
    </w:p>
    <w:p>
      <w:pPr>
        <w:pStyle w:val="0"/>
        <w:spacing w:before="200" w:line-rule="auto"/>
        <w:ind w:firstLine="540"/>
        <w:jc w:val="both"/>
      </w:pPr>
      <w:r>
        <w:rPr>
          <w:sz w:val="20"/>
        </w:rPr>
        <w:t xml:space="preserve">В случае установления факта сокрытия учреждением возобновления трудовой деятельности сотрудником, поступившим на военную службу, после исполнения им обязательств, предусмотренных </w:t>
      </w:r>
      <w:hyperlink w:history="0" w:anchor="P2471" w:tooltip="сотрудники, поступившие на военную службу, - лица из числа граждан, проживающих в автономном округе и прервавших либо прекративших трудовую деятельность в связи с заключением контракта, призывом на военную службу по мобилизации в Вооруженные Силы Российской Федерации;">
        <w:r>
          <w:rPr>
            <w:sz w:val="20"/>
            <w:color w:val="0000ff"/>
          </w:rPr>
          <w:t xml:space="preserve">абзацем пятнадцатым пункта 1.3</w:t>
        </w:r>
      </w:hyperlink>
      <w:r>
        <w:rPr>
          <w:sz w:val="20"/>
        </w:rPr>
        <w:t xml:space="preserve"> Порядка, либо факта сокрытия его гибели учреждение осуществляет возврат части бюджетных средств, размер которой определяется пропорционально фактически отработанному времени гражданином, трудоустроенным на рабочее место сотрудника, поступившего на военную службу.</w:t>
      </w:r>
    </w:p>
    <w:p>
      <w:pPr>
        <w:pStyle w:val="0"/>
        <w:jc w:val="both"/>
      </w:pPr>
      <w:r>
        <w:rPr>
          <w:sz w:val="20"/>
        </w:rPr>
        <w:t xml:space="preserve">(абзац введен </w:t>
      </w:r>
      <w:hyperlink w:history="0" r:id="rId307"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18.11.2022 N 609-п)</w:t>
      </w:r>
    </w:p>
    <w:p>
      <w:pPr>
        <w:pStyle w:val="0"/>
        <w:spacing w:before="200" w:line-rule="auto"/>
        <w:ind w:firstLine="540"/>
        <w:jc w:val="both"/>
      </w:pPr>
      <w:r>
        <w:rPr>
          <w:sz w:val="20"/>
        </w:rPr>
        <w:t xml:space="preserve">3.9. При отказе государственным учреждением автономного округа, муниципальным учреждением возврата бюджетных средств добровольно они взыскиваются в судебном порядке в соответствии с действующим законодательством Российской Федерации.</w:t>
      </w:r>
    </w:p>
    <w:p>
      <w:pPr>
        <w:pStyle w:val="0"/>
        <w:spacing w:before="200" w:line-rule="auto"/>
        <w:ind w:firstLine="540"/>
        <w:jc w:val="both"/>
      </w:pPr>
      <w:r>
        <w:rPr>
          <w:sz w:val="20"/>
        </w:rPr>
        <w:t xml:space="preserve">3.10. Отчетность об использовании бюджетных средств представляется государственным учреждением автономного округа, муниципальным учреждением в сроки и по формам, предусмотренным договором о реализации мероприятий.</w:t>
      </w:r>
    </w:p>
    <w:p>
      <w:pPr>
        <w:pStyle w:val="0"/>
        <w:jc w:val="both"/>
      </w:pPr>
      <w:r>
        <w:rPr>
          <w:sz w:val="20"/>
        </w:rPr>
      </w:r>
    </w:p>
    <w:p>
      <w:pPr>
        <w:pStyle w:val="2"/>
        <w:outlineLvl w:val="1"/>
        <w:jc w:val="center"/>
      </w:pPr>
      <w:r>
        <w:rPr>
          <w:sz w:val="20"/>
        </w:rPr>
        <w:t xml:space="preserve">4. Методика распределения иных межбюджетных трансфертов</w:t>
      </w:r>
    </w:p>
    <w:p>
      <w:pPr>
        <w:pStyle w:val="2"/>
        <w:jc w:val="center"/>
      </w:pPr>
      <w:r>
        <w:rPr>
          <w:sz w:val="20"/>
        </w:rPr>
        <w:t xml:space="preserve">и правила их предоставления</w:t>
      </w:r>
    </w:p>
    <w:p>
      <w:pPr>
        <w:pStyle w:val="0"/>
        <w:jc w:val="both"/>
      </w:pPr>
      <w:r>
        <w:rPr>
          <w:sz w:val="20"/>
        </w:rPr>
      </w:r>
    </w:p>
    <w:p>
      <w:pPr>
        <w:pStyle w:val="0"/>
        <w:ind w:firstLine="540"/>
        <w:jc w:val="both"/>
      </w:pPr>
      <w:r>
        <w:rPr>
          <w:sz w:val="20"/>
        </w:rPr>
        <w:t xml:space="preserve">4.1. Иные межбюджетные трансферты предоставляются в целях финансирования расходных обязательств муниципальных образований автономного округа, возникающих при реализации отдельных мероприятий </w:t>
      </w:r>
      <w:hyperlink w:history="0" r:id="rId30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1</w:t>
        </w:r>
      </w:hyperlink>
      <w:r>
        <w:rPr>
          <w:sz w:val="20"/>
        </w:rPr>
        <w:t xml:space="preserve"> "Содействие трудоустройству граждан", </w:t>
      </w:r>
      <w:hyperlink w:history="0" r:id="rId309"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4</w:t>
        </w:r>
      </w:hyperlink>
      <w:r>
        <w:rPr>
          <w:sz w:val="20"/>
        </w:rPr>
        <w:t xml:space="preserve"> "Содействие трудоустройству лиц с инвалидностью" государственной программы.</w:t>
      </w:r>
    </w:p>
    <w:p>
      <w:pPr>
        <w:pStyle w:val="0"/>
        <w:spacing w:before="200" w:line-rule="auto"/>
        <w:ind w:firstLine="540"/>
        <w:jc w:val="both"/>
      </w:pPr>
      <w:r>
        <w:rPr>
          <w:sz w:val="20"/>
        </w:rPr>
        <w:t xml:space="preserve">4.2. Иные межбюджетные трансферты предоставляет Департамент,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реализацию мероприятий государственной программы.</w:t>
      </w:r>
    </w:p>
    <w:p>
      <w:pPr>
        <w:pStyle w:val="0"/>
        <w:spacing w:before="200" w:line-rule="auto"/>
        <w:ind w:firstLine="540"/>
        <w:jc w:val="both"/>
      </w:pPr>
      <w:r>
        <w:rPr>
          <w:sz w:val="20"/>
        </w:rPr>
        <w:t xml:space="preserve">4.3. Распределение иных межбюджетных трансфертов между бюджетами муниципальных образований автономного округа, указанных в </w:t>
      </w:r>
      <w:hyperlink w:history="0" w:anchor="P2906" w:tooltip="Перечень получателей иных межбюджетных">
        <w:r>
          <w:rPr>
            <w:sz w:val="20"/>
            <w:color w:val="0000ff"/>
          </w:rPr>
          <w:t xml:space="preserve">таблице 2</w:t>
        </w:r>
      </w:hyperlink>
      <w:r>
        <w:rPr>
          <w:sz w:val="20"/>
        </w:rPr>
        <w:t xml:space="preserve">, устанавливается законом о бюджете автономного округа на соответствующий финансовый год и плановый период.</w:t>
      </w:r>
    </w:p>
    <w:p>
      <w:pPr>
        <w:pStyle w:val="0"/>
        <w:spacing w:before="200" w:line-rule="auto"/>
        <w:ind w:firstLine="540"/>
        <w:jc w:val="both"/>
      </w:pPr>
      <w:r>
        <w:rPr>
          <w:sz w:val="20"/>
        </w:rPr>
        <w:t xml:space="preserve">4.4. Предоставление иных межбюджетных трансфертов осуществляется на основании соглашения, заключаемого между Департаментом и главой муниципального образования автономного округа по форме, утвержденной Департаментом.</w:t>
      </w:r>
    </w:p>
    <w:p>
      <w:pPr>
        <w:pStyle w:val="0"/>
        <w:spacing w:before="200" w:line-rule="auto"/>
        <w:ind w:firstLine="540"/>
        <w:jc w:val="both"/>
      </w:pPr>
      <w:r>
        <w:rPr>
          <w:sz w:val="20"/>
        </w:rPr>
        <w:t xml:space="preserve">4.5. Объем иных межбюджетных трансфертов, предусмотренных муниципальному образованию автономного округа,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оимт</w:t>
      </w:r>
      <w:r>
        <w:rPr>
          <w:sz w:val="20"/>
        </w:rPr>
        <w:t xml:space="preserve"> = С</w:t>
      </w:r>
      <w:r>
        <w:rPr>
          <w:sz w:val="20"/>
          <w:vertAlign w:val="subscript"/>
        </w:rPr>
        <w:t xml:space="preserve">овр1</w:t>
      </w:r>
      <w:r>
        <w:rPr>
          <w:sz w:val="20"/>
        </w:rPr>
        <w:t xml:space="preserve"> + С</w:t>
      </w:r>
      <w:r>
        <w:rPr>
          <w:sz w:val="20"/>
          <w:vertAlign w:val="subscript"/>
        </w:rPr>
        <w:t xml:space="preserve">овр2</w:t>
      </w:r>
      <w:r>
        <w:rPr>
          <w:sz w:val="20"/>
        </w:rPr>
        <w:t xml:space="preserve"> + ... + С</w:t>
      </w:r>
      <w:r>
        <w:rPr>
          <w:sz w:val="20"/>
          <w:vertAlign w:val="subscript"/>
        </w:rPr>
        <w:t xml:space="preserve">овр8</w:t>
      </w:r>
      <w:r>
        <w:rPr>
          <w:sz w:val="20"/>
        </w:rPr>
        <w:t xml:space="preserve"> + С</w:t>
      </w:r>
      <w:r>
        <w:rPr>
          <w:sz w:val="20"/>
          <w:vertAlign w:val="subscript"/>
        </w:rPr>
        <w:t xml:space="preserve">оср1</w:t>
      </w:r>
      <w:r>
        <w:rPr>
          <w:sz w:val="20"/>
        </w:rPr>
        <w:t xml:space="preserve"> + С</w:t>
      </w:r>
      <w:r>
        <w:rPr>
          <w:sz w:val="20"/>
          <w:vertAlign w:val="subscript"/>
        </w:rPr>
        <w:t xml:space="preserve">оср2</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оимт</w:t>
      </w:r>
      <w:r>
        <w:rPr>
          <w:sz w:val="20"/>
        </w:rPr>
        <w:t xml:space="preserve"> - общий объем иных межбюджетных трансфертов, предусмотренных муниципальному образованию автономного округа на реализацию мероприятий государственной программы;</w:t>
      </w:r>
    </w:p>
    <w:p>
      <w:pPr>
        <w:pStyle w:val="0"/>
        <w:spacing w:before="200" w:line-rule="auto"/>
        <w:ind w:firstLine="540"/>
        <w:jc w:val="both"/>
      </w:pPr>
      <w:r>
        <w:rPr>
          <w:sz w:val="20"/>
        </w:rPr>
        <w:t xml:space="preserve">С</w:t>
      </w:r>
      <w:r>
        <w:rPr>
          <w:sz w:val="20"/>
          <w:vertAlign w:val="subscript"/>
        </w:rPr>
        <w:t xml:space="preserve">овр1</w:t>
      </w:r>
      <w:r>
        <w:rPr>
          <w:sz w:val="20"/>
        </w:rPr>
        <w:t xml:space="preserve"> - объем расходов, предусмотренный на компенсацию по оплате труда при организации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С</w:t>
      </w:r>
      <w:r>
        <w:rPr>
          <w:sz w:val="20"/>
          <w:vertAlign w:val="subscript"/>
        </w:rPr>
        <w:t xml:space="preserve">овр2</w:t>
      </w:r>
      <w:r>
        <w:rPr>
          <w:sz w:val="20"/>
        </w:rPr>
        <w:t xml:space="preserve"> - объем расходов, предусмотренный на компенсацию по оплате труда при организации временного трудоустройства безработных граждан, испытывающих трудности в поиске работы;</w:t>
      </w:r>
    </w:p>
    <w:p>
      <w:pPr>
        <w:pStyle w:val="0"/>
        <w:spacing w:before="200" w:line-rule="auto"/>
        <w:ind w:firstLine="540"/>
        <w:jc w:val="both"/>
      </w:pPr>
      <w:r>
        <w:rPr>
          <w:sz w:val="20"/>
        </w:rPr>
        <w:t xml:space="preserve">С</w:t>
      </w:r>
      <w:r>
        <w:rPr>
          <w:sz w:val="20"/>
          <w:vertAlign w:val="subscript"/>
        </w:rPr>
        <w:t xml:space="preserve">овр3</w:t>
      </w:r>
      <w:r>
        <w:rPr>
          <w:sz w:val="20"/>
        </w:rPr>
        <w:t xml:space="preserve"> - объем расходов, предусмотренный на компенсацию по оплате труда при организации проведения оплачиваемых общественных работ для не занятых трудовой деятельностью и безработных граждан;</w:t>
      </w:r>
    </w:p>
    <w:p>
      <w:pPr>
        <w:pStyle w:val="0"/>
        <w:spacing w:before="200" w:line-rule="auto"/>
        <w:ind w:firstLine="540"/>
        <w:jc w:val="both"/>
      </w:pPr>
      <w:r>
        <w:rPr>
          <w:sz w:val="20"/>
        </w:rPr>
        <w:t xml:space="preserve">С</w:t>
      </w:r>
      <w:r>
        <w:rPr>
          <w:sz w:val="20"/>
          <w:vertAlign w:val="subscript"/>
        </w:rPr>
        <w:t xml:space="preserve">овр4</w:t>
      </w:r>
      <w:r>
        <w:rPr>
          <w:sz w:val="20"/>
        </w:rPr>
        <w:t xml:space="preserve"> - объем расходов, предусмотренный на компенсацию по оплате труда при организации временного трудоустройства выпускников в возрасте от 18 до 25 лет, имеющих среднее профессиональное образование или высшее образование;</w:t>
      </w:r>
    </w:p>
    <w:p>
      <w:pPr>
        <w:pStyle w:val="0"/>
        <w:spacing w:before="200" w:line-rule="auto"/>
        <w:ind w:firstLine="540"/>
        <w:jc w:val="both"/>
      </w:pPr>
      <w:r>
        <w:rPr>
          <w:sz w:val="20"/>
        </w:rPr>
        <w:t xml:space="preserve">С</w:t>
      </w:r>
      <w:r>
        <w:rPr>
          <w:sz w:val="20"/>
          <w:vertAlign w:val="subscript"/>
        </w:rPr>
        <w:t xml:space="preserve">овр5</w:t>
      </w:r>
      <w:r>
        <w:rPr>
          <w:sz w:val="20"/>
        </w:rPr>
        <w:t xml:space="preserve"> - объем расходов, предусмотренный на компенсацию по оплате труда при организации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w:t>
      </w:r>
    </w:p>
    <w:p>
      <w:pPr>
        <w:pStyle w:val="0"/>
        <w:spacing w:before="200" w:line-rule="auto"/>
        <w:ind w:firstLine="540"/>
        <w:jc w:val="both"/>
      </w:pPr>
      <w:r>
        <w:rPr>
          <w:sz w:val="20"/>
        </w:rPr>
        <w:t xml:space="preserve">С</w:t>
      </w:r>
      <w:r>
        <w:rPr>
          <w:sz w:val="20"/>
          <w:vertAlign w:val="subscript"/>
        </w:rPr>
        <w:t xml:space="preserve">овр6</w:t>
      </w:r>
      <w:r>
        <w:rPr>
          <w:sz w:val="20"/>
        </w:rPr>
        <w:t xml:space="preserve"> - объем расходов, предусмотренный на компенсацию по оплате труда при организации временного трудоустройства граждан предпенсионного и пенсионного возраста;</w:t>
      </w:r>
    </w:p>
    <w:p>
      <w:pPr>
        <w:pStyle w:val="0"/>
        <w:spacing w:before="200" w:line-rule="auto"/>
        <w:ind w:firstLine="540"/>
        <w:jc w:val="both"/>
      </w:pPr>
      <w:r>
        <w:rPr>
          <w:sz w:val="20"/>
        </w:rPr>
        <w:t xml:space="preserve">С</w:t>
      </w:r>
      <w:r>
        <w:rPr>
          <w:sz w:val="20"/>
          <w:vertAlign w:val="subscript"/>
        </w:rPr>
        <w:t xml:space="preserve">овр7</w:t>
      </w:r>
      <w:r>
        <w:rPr>
          <w:sz w:val="20"/>
        </w:rPr>
        <w:t xml:space="preserve"> - объем расходов, предусмотренный на компенсацию по оплате труда при организации стажировки инвалидов;</w:t>
      </w:r>
    </w:p>
    <w:p>
      <w:pPr>
        <w:pStyle w:val="0"/>
        <w:spacing w:before="200" w:line-rule="auto"/>
        <w:ind w:firstLine="540"/>
        <w:jc w:val="both"/>
      </w:pPr>
      <w:r>
        <w:rPr>
          <w:sz w:val="20"/>
        </w:rPr>
        <w:t xml:space="preserve">С</w:t>
      </w:r>
      <w:r>
        <w:rPr>
          <w:sz w:val="20"/>
          <w:vertAlign w:val="subscript"/>
        </w:rPr>
        <w:t xml:space="preserve">оср1</w:t>
      </w:r>
      <w:r>
        <w:rPr>
          <w:sz w:val="20"/>
        </w:rP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инвалида;</w:t>
      </w:r>
    </w:p>
    <w:p>
      <w:pPr>
        <w:pStyle w:val="0"/>
        <w:spacing w:before="200" w:line-rule="auto"/>
        <w:ind w:firstLine="540"/>
        <w:jc w:val="both"/>
      </w:pPr>
      <w:r>
        <w:rPr>
          <w:sz w:val="20"/>
        </w:rPr>
        <w:t xml:space="preserve">С</w:t>
      </w:r>
      <w:r>
        <w:rPr>
          <w:sz w:val="20"/>
          <w:vertAlign w:val="subscript"/>
        </w:rPr>
        <w:t xml:space="preserve">оср2</w:t>
      </w:r>
      <w:r>
        <w:rPr>
          <w:sz w:val="20"/>
        </w:rP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родителя, женщины;</w:t>
      </w:r>
    </w:p>
    <w:p>
      <w:pPr>
        <w:pStyle w:val="0"/>
        <w:spacing w:before="200" w:line-rule="auto"/>
        <w:ind w:firstLine="540"/>
        <w:jc w:val="both"/>
      </w:pPr>
      <w:r>
        <w:rPr>
          <w:sz w:val="20"/>
        </w:rPr>
        <w:t xml:space="preserve">С</w:t>
      </w:r>
      <w:r>
        <w:rPr>
          <w:sz w:val="20"/>
          <w:vertAlign w:val="subscript"/>
        </w:rPr>
        <w:t xml:space="preserve">овр8</w:t>
      </w:r>
      <w:r>
        <w:rPr>
          <w:sz w:val="20"/>
        </w:rPr>
        <w:t xml:space="preserve"> - объем расходов, предусмотренный на компенсацию по оплате труда при организации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w:t>
      </w:r>
    </w:p>
    <w:p>
      <w:pPr>
        <w:pStyle w:val="0"/>
        <w:jc w:val="both"/>
      </w:pPr>
      <w:r>
        <w:rPr>
          <w:sz w:val="20"/>
        </w:rPr>
        <w:t xml:space="preserve">(абзац введен </w:t>
      </w:r>
      <w:hyperlink w:history="0" r:id="rId310"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p>
      <w:pPr>
        <w:pStyle w:val="0"/>
        <w:spacing w:before="200" w:line-rule="auto"/>
        <w:ind w:firstLine="540"/>
        <w:jc w:val="both"/>
      </w:pPr>
      <w:r>
        <w:rPr>
          <w:sz w:val="20"/>
        </w:rPr>
        <w:t xml:space="preserve">4.5.1. Объем расходов, предусмотренный на компенсацию по оплате труда, определяется по формуле:</w:t>
      </w:r>
    </w:p>
    <w:p>
      <w:pPr>
        <w:pStyle w:val="0"/>
        <w:jc w:val="both"/>
      </w:pPr>
      <w:r>
        <w:rPr>
          <w:sz w:val="20"/>
        </w:rPr>
      </w:r>
    </w:p>
    <w:p>
      <w:pPr>
        <w:pStyle w:val="0"/>
        <w:jc w:val="center"/>
      </w:pPr>
      <w:r>
        <w:rPr>
          <w:sz w:val="20"/>
        </w:rPr>
        <w:t xml:space="preserve">С</w:t>
      </w:r>
      <w:r>
        <w:rPr>
          <w:sz w:val="20"/>
          <w:vertAlign w:val="subscript"/>
        </w:rPr>
        <w:t xml:space="preserve">овр8</w:t>
      </w:r>
      <w:r>
        <w:rPr>
          <w:sz w:val="20"/>
        </w:rPr>
        <w:t xml:space="preserve"> = N</w:t>
      </w:r>
      <w:r>
        <w:rPr>
          <w:sz w:val="20"/>
          <w:vertAlign w:val="subscript"/>
        </w:rPr>
        <w:t xml:space="preserve">вр</w:t>
      </w:r>
      <w:r>
        <w:rPr>
          <w:sz w:val="20"/>
        </w:rPr>
        <w:t xml:space="preserve"> x С</w:t>
      </w:r>
      <w:r>
        <w:rPr>
          <w:sz w:val="20"/>
          <w:vertAlign w:val="subscript"/>
        </w:rPr>
        <w:t xml:space="preserve">зп</w:t>
      </w:r>
      <w:r>
        <w:rPr>
          <w:sz w:val="20"/>
        </w:rPr>
        <w:t xml:space="preserve"> x Р</w:t>
      </w:r>
      <w:r>
        <w:rPr>
          <w:sz w:val="20"/>
          <w:vertAlign w:val="subscript"/>
        </w:rPr>
        <w:t xml:space="preserve">вр</w:t>
      </w:r>
      <w:r>
        <w:rPr>
          <w:sz w:val="20"/>
        </w:rPr>
        <w:t xml:space="preserve">, где:</w:t>
      </w:r>
    </w:p>
    <w:p>
      <w:pPr>
        <w:pStyle w:val="0"/>
        <w:jc w:val="center"/>
      </w:pPr>
      <w:r>
        <w:rPr>
          <w:sz w:val="20"/>
        </w:rPr>
        <w:t xml:space="preserve">(в ред. </w:t>
      </w:r>
      <w:hyperlink w:history="0" r:id="rId311"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23.09.2022 N 473-п)</w:t>
      </w:r>
    </w:p>
    <w:p>
      <w:pPr>
        <w:pStyle w:val="0"/>
        <w:jc w:val="both"/>
      </w:pPr>
      <w:r>
        <w:rPr>
          <w:sz w:val="20"/>
        </w:rPr>
      </w:r>
    </w:p>
    <w:p>
      <w:pPr>
        <w:pStyle w:val="0"/>
        <w:ind w:firstLine="540"/>
        <w:jc w:val="both"/>
      </w:pPr>
      <w:r>
        <w:rPr>
          <w:sz w:val="20"/>
        </w:rPr>
        <w:t xml:space="preserve">С</w:t>
      </w:r>
      <w:r>
        <w:rPr>
          <w:sz w:val="20"/>
          <w:vertAlign w:val="subscript"/>
        </w:rPr>
        <w:t xml:space="preserve">овр1</w:t>
      </w:r>
      <w:r>
        <w:rPr>
          <w:sz w:val="20"/>
        </w:rPr>
        <w:t xml:space="preserve"> - объем расходов, предусмотренный на компенсацию по оплате труда при организации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С</w:t>
      </w:r>
      <w:r>
        <w:rPr>
          <w:sz w:val="20"/>
          <w:vertAlign w:val="subscript"/>
        </w:rPr>
        <w:t xml:space="preserve">овр2</w:t>
      </w:r>
      <w:r>
        <w:rPr>
          <w:sz w:val="20"/>
        </w:rPr>
        <w:t xml:space="preserve"> - объем расходов, предусмотренный на компенсацию по оплате труда при организации временного трудоустройства безработных граждан, испытывающих трудности в поиске работы;</w:t>
      </w:r>
    </w:p>
    <w:p>
      <w:pPr>
        <w:pStyle w:val="0"/>
        <w:spacing w:before="200" w:line-rule="auto"/>
        <w:ind w:firstLine="540"/>
        <w:jc w:val="both"/>
      </w:pPr>
      <w:r>
        <w:rPr>
          <w:sz w:val="20"/>
        </w:rPr>
        <w:t xml:space="preserve">С</w:t>
      </w:r>
      <w:r>
        <w:rPr>
          <w:sz w:val="20"/>
          <w:vertAlign w:val="subscript"/>
        </w:rPr>
        <w:t xml:space="preserve">овр3</w:t>
      </w:r>
      <w:r>
        <w:rPr>
          <w:sz w:val="20"/>
        </w:rPr>
        <w:t xml:space="preserve"> - объем расходов, предусмотренный на компенсацию по оплате труда при организации проведения оплачиваемых общественных работ для не занятых трудовой деятельностью и безработных граждан;</w:t>
      </w:r>
    </w:p>
    <w:p>
      <w:pPr>
        <w:pStyle w:val="0"/>
        <w:spacing w:before="200" w:line-rule="auto"/>
        <w:ind w:firstLine="540"/>
        <w:jc w:val="both"/>
      </w:pPr>
      <w:r>
        <w:rPr>
          <w:sz w:val="20"/>
        </w:rPr>
        <w:t xml:space="preserve">С</w:t>
      </w:r>
      <w:r>
        <w:rPr>
          <w:sz w:val="20"/>
          <w:vertAlign w:val="subscript"/>
        </w:rPr>
        <w:t xml:space="preserve">овр4</w:t>
      </w:r>
      <w:r>
        <w:rPr>
          <w:sz w:val="20"/>
        </w:rPr>
        <w:t xml:space="preserve"> - объем расходов, предусмотренный на компенсацию по оплате труда при организации временного трудоустройства выпускников в возрасте от 18 до 25 лет, имеющих среднее профессиональное образование или высшее образование;</w:t>
      </w:r>
    </w:p>
    <w:p>
      <w:pPr>
        <w:pStyle w:val="0"/>
        <w:spacing w:before="200" w:line-rule="auto"/>
        <w:ind w:firstLine="540"/>
        <w:jc w:val="both"/>
      </w:pPr>
      <w:r>
        <w:rPr>
          <w:sz w:val="20"/>
        </w:rPr>
        <w:t xml:space="preserve">С</w:t>
      </w:r>
      <w:r>
        <w:rPr>
          <w:sz w:val="20"/>
          <w:vertAlign w:val="subscript"/>
        </w:rPr>
        <w:t xml:space="preserve">овр5</w:t>
      </w:r>
      <w:r>
        <w:rPr>
          <w:sz w:val="20"/>
        </w:rPr>
        <w:t xml:space="preserve"> - объем расходов, предусмотренный на компенсацию по оплате труда при организации временного трудоустройства не занятых трудовой деятельностью и (или) безработных граждан из числа коренных малочисленных народов Севера автономного округа, в том числе постоянно проживающих в местах их традиционного проживания и традиционной хозяйственной деятельности, зарегистрированных в центрах занятости населения в целях поиска подходящей работы;</w:t>
      </w:r>
    </w:p>
    <w:p>
      <w:pPr>
        <w:pStyle w:val="0"/>
        <w:spacing w:before="200" w:line-rule="auto"/>
        <w:ind w:firstLine="540"/>
        <w:jc w:val="both"/>
      </w:pPr>
      <w:r>
        <w:rPr>
          <w:sz w:val="20"/>
        </w:rPr>
        <w:t xml:space="preserve">С</w:t>
      </w:r>
      <w:r>
        <w:rPr>
          <w:sz w:val="20"/>
          <w:vertAlign w:val="subscript"/>
        </w:rPr>
        <w:t xml:space="preserve">овр6</w:t>
      </w:r>
      <w:r>
        <w:rPr>
          <w:sz w:val="20"/>
        </w:rPr>
        <w:t xml:space="preserve"> - объем расходов, предусмотренный на компенсацию по оплате труда при организации временного трудоустройства граждан предпенсионного и пенсионного возраста;</w:t>
      </w:r>
    </w:p>
    <w:p>
      <w:pPr>
        <w:pStyle w:val="0"/>
        <w:spacing w:before="200" w:line-rule="auto"/>
        <w:ind w:firstLine="540"/>
        <w:jc w:val="both"/>
      </w:pPr>
      <w:r>
        <w:rPr>
          <w:sz w:val="20"/>
        </w:rPr>
        <w:t xml:space="preserve">С</w:t>
      </w:r>
      <w:r>
        <w:rPr>
          <w:sz w:val="20"/>
          <w:vertAlign w:val="subscript"/>
        </w:rPr>
        <w:t xml:space="preserve">овр7</w:t>
      </w:r>
      <w:r>
        <w:rPr>
          <w:sz w:val="20"/>
        </w:rPr>
        <w:t xml:space="preserve"> - объем расходов, предусмотренный на компенсацию по оплате труда при организации стажировки инвалидов;</w:t>
      </w:r>
    </w:p>
    <w:p>
      <w:pPr>
        <w:pStyle w:val="0"/>
        <w:spacing w:before="200" w:line-rule="auto"/>
        <w:ind w:firstLine="540"/>
        <w:jc w:val="both"/>
      </w:pPr>
      <w:r>
        <w:rPr>
          <w:sz w:val="20"/>
        </w:rPr>
        <w:t xml:space="preserve">С</w:t>
      </w:r>
      <w:r>
        <w:rPr>
          <w:sz w:val="20"/>
          <w:vertAlign w:val="subscript"/>
        </w:rPr>
        <w:t xml:space="preserve">овр8</w:t>
      </w:r>
      <w:r>
        <w:rPr>
          <w:sz w:val="20"/>
        </w:rPr>
        <w:t xml:space="preserve"> - объем расходов, предусмотренный на компенсацию по оплате труда при организации мероприятия, предусмотренного </w:t>
      </w:r>
      <w:hyperlink w:history="0" w:anchor="P2452" w:tooltip="1.2.3. Дополнительное мероприятие в отношении учреждений, сотрудники которых проживают в автономном округе и поступили на военную службу по контракту, призваны на военную службу по мобилизации в Вооруженные Силы Российской Федерации (основное мероприятие 1.2).">
        <w:r>
          <w:rPr>
            <w:sz w:val="20"/>
            <w:color w:val="0000ff"/>
          </w:rPr>
          <w:t xml:space="preserve">подпунктом 1.2.3 пункта 1.2</w:t>
        </w:r>
      </w:hyperlink>
      <w:r>
        <w:rPr>
          <w:sz w:val="20"/>
        </w:rPr>
        <w:t xml:space="preserve"> Порядка;</w:t>
      </w:r>
    </w:p>
    <w:p>
      <w:pPr>
        <w:pStyle w:val="0"/>
        <w:jc w:val="both"/>
      </w:pPr>
      <w:r>
        <w:rPr>
          <w:sz w:val="20"/>
        </w:rPr>
        <w:t xml:space="preserve">(абзац введен </w:t>
      </w:r>
      <w:hyperlink w:history="0" r:id="rId312" w:tooltip="Постановление Правительства ХМАО - Югры от 23.09.2022 N 473-п (ред. от 18.10.2022) &quot;О внесении изменений в некоторые постановления Правительства Ханты-Мансийского автономного округа - Югры&quot; {КонсультантПлюс}">
        <w:r>
          <w:rPr>
            <w:sz w:val="20"/>
            <w:color w:val="0000ff"/>
          </w:rPr>
          <w:t xml:space="preserve">постановлением</w:t>
        </w:r>
      </w:hyperlink>
      <w:r>
        <w:rPr>
          <w:sz w:val="20"/>
        </w:rPr>
        <w:t xml:space="preserve"> Правительства ХМАО - Югры от 23.09.2022 N 473-п)</w:t>
      </w:r>
    </w:p>
    <w:p>
      <w:pPr>
        <w:pStyle w:val="0"/>
        <w:spacing w:before="200" w:line-rule="auto"/>
        <w:ind w:firstLine="540"/>
        <w:jc w:val="both"/>
      </w:pPr>
      <w:r>
        <w:rPr>
          <w:sz w:val="20"/>
        </w:rPr>
        <w:t xml:space="preserve">N</w:t>
      </w:r>
      <w:r>
        <w:rPr>
          <w:sz w:val="20"/>
          <w:vertAlign w:val="subscript"/>
        </w:rPr>
        <w:t xml:space="preserve">вр</w:t>
      </w:r>
      <w:r>
        <w:rPr>
          <w:sz w:val="20"/>
        </w:rPr>
        <w:t xml:space="preserve"> - прогнозируемая численность граждан, трудоустроенных на организованные временные рабочие места, с учетом наставников;</w:t>
      </w:r>
    </w:p>
    <w:p>
      <w:pPr>
        <w:pStyle w:val="0"/>
        <w:spacing w:before="200" w:line-rule="auto"/>
        <w:ind w:firstLine="540"/>
        <w:jc w:val="both"/>
      </w:pPr>
      <w:r>
        <w:rPr>
          <w:sz w:val="20"/>
        </w:rPr>
        <w:t xml:space="preserve">С</w:t>
      </w:r>
      <w:r>
        <w:rPr>
          <w:sz w:val="20"/>
          <w:vertAlign w:val="subscript"/>
        </w:rPr>
        <w:t xml:space="preserve">зп</w:t>
      </w:r>
      <w:r>
        <w:rPr>
          <w:sz w:val="20"/>
        </w:rPr>
        <w:t xml:space="preserve"> - установленный по мероприятию размер компенсации по оплате труда в соответствии с </w:t>
      </w:r>
      <w:hyperlink w:history="0" w:anchor="P2497" w:tooltip="Размеры компенсации по оплате труда и материальной">
        <w:r>
          <w:rPr>
            <w:sz w:val="20"/>
            <w:color w:val="0000ff"/>
          </w:rPr>
          <w:t xml:space="preserve">таблицей 1</w:t>
        </w:r>
      </w:hyperlink>
      <w:r>
        <w:rPr>
          <w:sz w:val="20"/>
        </w:rPr>
        <w:t xml:space="preserve"> Порядка;</w:t>
      </w:r>
    </w:p>
    <w:p>
      <w:pPr>
        <w:pStyle w:val="0"/>
        <w:spacing w:before="200" w:line-rule="auto"/>
        <w:ind w:firstLine="540"/>
        <w:jc w:val="both"/>
      </w:pPr>
      <w:r>
        <w:rPr>
          <w:sz w:val="20"/>
        </w:rPr>
        <w:t xml:space="preserve">Р</w:t>
      </w:r>
      <w:r>
        <w:rPr>
          <w:sz w:val="20"/>
          <w:vertAlign w:val="subscript"/>
        </w:rPr>
        <w:t xml:space="preserve">вр</w:t>
      </w:r>
      <w:r>
        <w:rPr>
          <w:sz w:val="20"/>
        </w:rPr>
        <w:t xml:space="preserve"> - период участия гражданина во временных работах.</w:t>
      </w:r>
    </w:p>
    <w:p>
      <w:pPr>
        <w:pStyle w:val="0"/>
        <w:spacing w:before="200" w:line-rule="auto"/>
        <w:ind w:firstLine="540"/>
        <w:jc w:val="both"/>
      </w:pPr>
      <w:r>
        <w:rPr>
          <w:sz w:val="20"/>
        </w:rPr>
        <w:t xml:space="preserve">4.5.2. Объем расходов, предусмотренный на финансовое обеспечение затрат по оснащению (дооснащению) постоянного рабочего места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оср1-2</w:t>
      </w:r>
      <w:r>
        <w:rPr>
          <w:sz w:val="20"/>
        </w:rPr>
        <w:t xml:space="preserve"> = N</w:t>
      </w:r>
      <w:r>
        <w:rPr>
          <w:sz w:val="20"/>
          <w:vertAlign w:val="subscript"/>
        </w:rPr>
        <w:t xml:space="preserve">ср</w:t>
      </w:r>
      <w:r>
        <w:rPr>
          <w:sz w:val="20"/>
        </w:rPr>
        <w:t xml:space="preserve"> x С</w:t>
      </w:r>
      <w:r>
        <w:rPr>
          <w:sz w:val="20"/>
          <w:vertAlign w:val="subscript"/>
        </w:rPr>
        <w:t xml:space="preserve">ср</w:t>
      </w:r>
      <w:r>
        <w:rPr>
          <w:sz w:val="20"/>
        </w:rPr>
        <w:t xml:space="preserve">, где:</w:t>
      </w:r>
    </w:p>
    <w:p>
      <w:pPr>
        <w:pStyle w:val="0"/>
        <w:jc w:val="both"/>
      </w:pPr>
      <w:r>
        <w:rPr>
          <w:sz w:val="20"/>
        </w:rPr>
      </w:r>
    </w:p>
    <w:p>
      <w:pPr>
        <w:pStyle w:val="0"/>
        <w:ind w:firstLine="540"/>
        <w:jc w:val="both"/>
      </w:pPr>
      <w:r>
        <w:rPr>
          <w:sz w:val="20"/>
        </w:rPr>
        <w:t xml:space="preserve">С</w:t>
      </w:r>
      <w:r>
        <w:rPr>
          <w:sz w:val="20"/>
          <w:vertAlign w:val="subscript"/>
        </w:rPr>
        <w:t xml:space="preserve">оср1</w:t>
      </w:r>
      <w:r>
        <w:rPr>
          <w:sz w:val="20"/>
        </w:rP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инвалида;</w:t>
      </w:r>
    </w:p>
    <w:p>
      <w:pPr>
        <w:pStyle w:val="0"/>
        <w:spacing w:before="200" w:line-rule="auto"/>
        <w:ind w:firstLine="540"/>
        <w:jc w:val="both"/>
      </w:pPr>
      <w:r>
        <w:rPr>
          <w:sz w:val="20"/>
        </w:rPr>
        <w:t xml:space="preserve">С</w:t>
      </w:r>
      <w:r>
        <w:rPr>
          <w:sz w:val="20"/>
          <w:vertAlign w:val="subscript"/>
        </w:rPr>
        <w:t xml:space="preserve">оср2</w:t>
      </w:r>
      <w:r>
        <w:rPr>
          <w:sz w:val="20"/>
        </w:rPr>
        <w:t xml:space="preserve"> - объем расходов, предусмотренный на финансовое обеспечение затрат по оснащению (дооснащению) постоянного рабочего места для трудоустройства родителя, женщины;</w:t>
      </w:r>
    </w:p>
    <w:p>
      <w:pPr>
        <w:pStyle w:val="0"/>
        <w:spacing w:before="200" w:line-rule="auto"/>
        <w:ind w:firstLine="540"/>
        <w:jc w:val="both"/>
      </w:pPr>
      <w:r>
        <w:rPr>
          <w:sz w:val="20"/>
        </w:rPr>
        <w:t xml:space="preserve">N</w:t>
      </w:r>
      <w:r>
        <w:rPr>
          <w:sz w:val="20"/>
          <w:vertAlign w:val="subscript"/>
        </w:rPr>
        <w:t xml:space="preserve">ср</w:t>
      </w:r>
      <w:r>
        <w:rPr>
          <w:sz w:val="20"/>
        </w:rPr>
        <w:t xml:space="preserve"> - планируемое количество оснащенных (дооснащенных) постоянных рабочих мест;</w:t>
      </w:r>
    </w:p>
    <w:p>
      <w:pPr>
        <w:pStyle w:val="0"/>
        <w:spacing w:before="200" w:line-rule="auto"/>
        <w:ind w:firstLine="540"/>
        <w:jc w:val="both"/>
      </w:pPr>
      <w:r>
        <w:rPr>
          <w:sz w:val="20"/>
        </w:rPr>
        <w:t xml:space="preserve">С</w:t>
      </w:r>
      <w:r>
        <w:rPr>
          <w:sz w:val="20"/>
          <w:vertAlign w:val="subscript"/>
        </w:rPr>
        <w:t xml:space="preserve">ср</w:t>
      </w:r>
      <w:r>
        <w:rPr>
          <w:sz w:val="20"/>
        </w:rPr>
        <w:t xml:space="preserve"> - установленный по мероприятию размер затрат учреждения по оснащению (дооснащению) постоянного рабочего места, подлежащий возмещению из бюджета автономного округа, в соответствии с </w:t>
      </w:r>
      <w:hyperlink w:history="0" w:anchor="P2725" w:tooltip="1.9. Финансовое обеспечение затрат по оснащению (дооснащению) постоянного рабочего места осуществляется в размере, подтвержденном сметой, являющейся неотъемлемой частью заявления, указанного в пункте 2.1 Порядка, но не более:">
        <w:r>
          <w:rPr>
            <w:sz w:val="20"/>
            <w:color w:val="0000ff"/>
          </w:rPr>
          <w:t xml:space="preserve">пунктом 1.9</w:t>
        </w:r>
      </w:hyperlink>
      <w:r>
        <w:rPr>
          <w:sz w:val="20"/>
        </w:rPr>
        <w:t xml:space="preserve"> Порядка.</w:t>
      </w:r>
    </w:p>
    <w:p>
      <w:pPr>
        <w:pStyle w:val="0"/>
        <w:spacing w:before="200" w:line-rule="auto"/>
        <w:ind w:firstLine="540"/>
        <w:jc w:val="both"/>
      </w:pPr>
      <w:r>
        <w:rPr>
          <w:sz w:val="20"/>
        </w:rPr>
        <w:t xml:space="preserve">4.6. Предоставление иных межбюджетных трансфертов осуществляется со счетов, открытых Департаменту в Департаменте финансов автономного округа на счета, открытые финансовыми органами муниципальных образований автономного округа для последующего перечисления их муниципальным учреждениям.</w:t>
      </w:r>
    </w:p>
    <w:p>
      <w:pPr>
        <w:pStyle w:val="0"/>
        <w:spacing w:before="200" w:line-rule="auto"/>
        <w:ind w:firstLine="540"/>
        <w:jc w:val="both"/>
      </w:pPr>
      <w:r>
        <w:rPr>
          <w:sz w:val="20"/>
        </w:rPr>
        <w:t xml:space="preserve">4.7. Контроль за целевым использованием иных межбюджетных трансфертов осуществляет Департамент, а также орган государственного финансового контроля автономного округа путем запроса необходимых документов у органов местного самоуправления муниципальных образований автономного округа либо выездной проверки.</w:t>
      </w:r>
    </w:p>
    <w:bookmarkStart w:id="2898" w:name="P2898"/>
    <w:bookmarkEnd w:id="2898"/>
    <w:p>
      <w:pPr>
        <w:pStyle w:val="0"/>
        <w:spacing w:before="200" w:line-rule="auto"/>
        <w:ind w:firstLine="540"/>
        <w:jc w:val="both"/>
      </w:pPr>
      <w:r>
        <w:rPr>
          <w:sz w:val="20"/>
        </w:rPr>
        <w:t xml:space="preserve">4.8. В случае нарушения муниципальным образованием автономного округа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центр занятости населения направляет ему в течение 5 рабочих дней со дня выявления такого факта мотивированное требование о возврате иных межбюджетных трансфертов.</w:t>
      </w:r>
    </w:p>
    <w:p>
      <w:pPr>
        <w:pStyle w:val="0"/>
        <w:spacing w:before="200" w:line-rule="auto"/>
        <w:ind w:firstLine="540"/>
        <w:jc w:val="both"/>
      </w:pPr>
      <w:r>
        <w:rPr>
          <w:sz w:val="20"/>
        </w:rPr>
        <w:t xml:space="preserve">4.9. Иные межбюджетные трансферты либо их часть подлежат возврату в бюджет автономного округа в течение 10 дней с момента получения соответствующего мотивированного требования, указанного в </w:t>
      </w:r>
      <w:hyperlink w:history="0" w:anchor="P2898" w:tooltip="4.8. В случае нарушения муниципальным образованием автономного округа условий предоставления иных межбюджетных трансфертов (расходование не по целевому назначению, выявление факта представления недостоверных (неполных) сведений) центр занятости населения направляет ему в течение 5 рабочих дней со дня выявления такого факта мотивированное требование о возврате иных межбюджетных трансфертов.">
        <w:r>
          <w:rPr>
            <w:sz w:val="20"/>
            <w:color w:val="0000ff"/>
          </w:rPr>
          <w:t xml:space="preserve">пункте 4.8</w:t>
        </w:r>
      </w:hyperlink>
      <w:r>
        <w:rPr>
          <w:sz w:val="20"/>
        </w:rPr>
        <w:t xml:space="preserve"> Порядка.</w:t>
      </w:r>
    </w:p>
    <w:p>
      <w:pPr>
        <w:pStyle w:val="0"/>
        <w:spacing w:before="200" w:line-rule="auto"/>
        <w:ind w:firstLine="540"/>
        <w:jc w:val="both"/>
      </w:pPr>
      <w:r>
        <w:rPr>
          <w:sz w:val="20"/>
        </w:rPr>
        <w:t xml:space="preserve">4.10. При отказе муниципальным образованием автономного округа возврата иных межбюджетных трансфертов добровольно они взыскиваются в судебном порядке в соответствии с действующим законодательством Российской Федерации.</w:t>
      </w:r>
    </w:p>
    <w:p>
      <w:pPr>
        <w:pStyle w:val="0"/>
        <w:spacing w:before="200" w:line-rule="auto"/>
        <w:ind w:firstLine="540"/>
        <w:jc w:val="both"/>
      </w:pPr>
      <w:r>
        <w:rPr>
          <w:sz w:val="20"/>
        </w:rPr>
        <w:t xml:space="preserve">4.11. Неиспользованный остаток иного межбюджетного трансферта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pPr>
        <w:pStyle w:val="0"/>
        <w:spacing w:before="200" w:line-rule="auto"/>
        <w:ind w:firstLine="540"/>
        <w:jc w:val="both"/>
      </w:pPr>
      <w:r>
        <w:rPr>
          <w:sz w:val="20"/>
        </w:rPr>
        <w:t xml:space="preserve">4.12. В случае если неиспользованный остаток иного межбюджетного трансферта не перечислен в доход бюджета автономного округа, он подлежит взысканию в доход бюджета автономного округа в порядке, установленном Департаментом финансов автономного округа.</w:t>
      </w:r>
    </w:p>
    <w:p>
      <w:pPr>
        <w:pStyle w:val="0"/>
        <w:jc w:val="both"/>
      </w:pPr>
      <w:r>
        <w:rPr>
          <w:sz w:val="20"/>
        </w:rPr>
      </w:r>
    </w:p>
    <w:p>
      <w:pPr>
        <w:pStyle w:val="0"/>
        <w:jc w:val="right"/>
      </w:pPr>
      <w:r>
        <w:rPr>
          <w:sz w:val="20"/>
        </w:rPr>
        <w:t xml:space="preserve">Таблица 2</w:t>
      </w:r>
    </w:p>
    <w:p>
      <w:pPr>
        <w:pStyle w:val="0"/>
        <w:jc w:val="both"/>
      </w:pPr>
      <w:r>
        <w:rPr>
          <w:sz w:val="20"/>
        </w:rPr>
      </w:r>
    </w:p>
    <w:bookmarkStart w:id="2906" w:name="P2906"/>
    <w:bookmarkEnd w:id="2906"/>
    <w:p>
      <w:pPr>
        <w:pStyle w:val="0"/>
        <w:jc w:val="center"/>
      </w:pPr>
      <w:r>
        <w:rPr>
          <w:sz w:val="20"/>
        </w:rPr>
        <w:t xml:space="preserve">Перечень получателей иных межбюджетных</w:t>
      </w:r>
    </w:p>
    <w:p>
      <w:pPr>
        <w:pStyle w:val="0"/>
        <w:jc w:val="center"/>
      </w:pPr>
      <w:r>
        <w:rPr>
          <w:sz w:val="20"/>
        </w:rPr>
        <w:t xml:space="preserve">трансфертов - муниципальных образований автономного округа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8334"/>
      </w:tblGrid>
      <w:tr>
        <w:tc>
          <w:tcPr>
            <w:tcW w:w="737" w:type="dxa"/>
          </w:tcPr>
          <w:p>
            <w:pPr>
              <w:pStyle w:val="0"/>
              <w:jc w:val="center"/>
            </w:pPr>
            <w:r>
              <w:rPr>
                <w:sz w:val="20"/>
              </w:rPr>
              <w:t xml:space="preserve">N п/п</w:t>
            </w:r>
          </w:p>
        </w:tc>
        <w:tc>
          <w:tcPr>
            <w:tcW w:w="8334" w:type="dxa"/>
          </w:tcPr>
          <w:p>
            <w:pPr>
              <w:pStyle w:val="0"/>
              <w:jc w:val="center"/>
            </w:pPr>
            <w:r>
              <w:rPr>
                <w:sz w:val="20"/>
              </w:rPr>
              <w:t xml:space="preserve">Получатели иных межбюджетных трансфертов</w:t>
            </w:r>
          </w:p>
        </w:tc>
      </w:tr>
      <w:tr>
        <w:tc>
          <w:tcPr>
            <w:tcW w:w="737" w:type="dxa"/>
          </w:tcPr>
          <w:p>
            <w:pPr>
              <w:pStyle w:val="0"/>
            </w:pPr>
            <w:r>
              <w:rPr>
                <w:sz w:val="20"/>
              </w:rPr>
              <w:t xml:space="preserve">1</w:t>
            </w:r>
          </w:p>
        </w:tc>
        <w:tc>
          <w:tcPr>
            <w:tcW w:w="8334" w:type="dxa"/>
          </w:tcPr>
          <w:p>
            <w:pPr>
              <w:pStyle w:val="0"/>
            </w:pPr>
            <w:r>
              <w:rPr>
                <w:sz w:val="20"/>
              </w:rPr>
              <w:t xml:space="preserve">городской округ Нефтеюганск</w:t>
            </w:r>
          </w:p>
        </w:tc>
      </w:tr>
      <w:tr>
        <w:tc>
          <w:tcPr>
            <w:tcW w:w="737" w:type="dxa"/>
          </w:tcPr>
          <w:p>
            <w:pPr>
              <w:pStyle w:val="0"/>
            </w:pPr>
            <w:r>
              <w:rPr>
                <w:sz w:val="20"/>
              </w:rPr>
              <w:t xml:space="preserve">2</w:t>
            </w:r>
          </w:p>
        </w:tc>
        <w:tc>
          <w:tcPr>
            <w:tcW w:w="8334" w:type="dxa"/>
          </w:tcPr>
          <w:p>
            <w:pPr>
              <w:pStyle w:val="0"/>
            </w:pPr>
            <w:r>
              <w:rPr>
                <w:sz w:val="20"/>
              </w:rPr>
              <w:t xml:space="preserve">городской округ Сургут</w:t>
            </w:r>
          </w:p>
        </w:tc>
      </w:tr>
      <w:tr>
        <w:tc>
          <w:tcPr>
            <w:tcW w:w="737" w:type="dxa"/>
          </w:tcPr>
          <w:p>
            <w:pPr>
              <w:pStyle w:val="0"/>
            </w:pPr>
            <w:r>
              <w:rPr>
                <w:sz w:val="20"/>
              </w:rPr>
              <w:t xml:space="preserve">3</w:t>
            </w:r>
          </w:p>
        </w:tc>
        <w:tc>
          <w:tcPr>
            <w:tcW w:w="8334" w:type="dxa"/>
          </w:tcPr>
          <w:p>
            <w:pPr>
              <w:pStyle w:val="0"/>
            </w:pPr>
            <w:r>
              <w:rPr>
                <w:sz w:val="20"/>
              </w:rPr>
              <w:t xml:space="preserve">городской округ Ханты-Мансийск</w:t>
            </w:r>
          </w:p>
        </w:tc>
      </w:tr>
      <w:tr>
        <w:tc>
          <w:tcPr>
            <w:tcW w:w="737" w:type="dxa"/>
          </w:tcPr>
          <w:p>
            <w:pPr>
              <w:pStyle w:val="0"/>
            </w:pPr>
            <w:r>
              <w:rPr>
                <w:sz w:val="20"/>
              </w:rPr>
              <w:t xml:space="preserve">4</w:t>
            </w:r>
          </w:p>
        </w:tc>
        <w:tc>
          <w:tcPr>
            <w:tcW w:w="8334" w:type="dxa"/>
          </w:tcPr>
          <w:p>
            <w:pPr>
              <w:pStyle w:val="0"/>
            </w:pPr>
            <w:r>
              <w:rPr>
                <w:sz w:val="20"/>
              </w:rPr>
              <w:t xml:space="preserve">городской округ Нижневартовск</w:t>
            </w:r>
          </w:p>
        </w:tc>
      </w:tr>
      <w:tr>
        <w:tc>
          <w:tcPr>
            <w:tcW w:w="737" w:type="dxa"/>
          </w:tcPr>
          <w:p>
            <w:pPr>
              <w:pStyle w:val="0"/>
            </w:pPr>
            <w:r>
              <w:rPr>
                <w:sz w:val="20"/>
              </w:rPr>
              <w:t xml:space="preserve">5</w:t>
            </w:r>
          </w:p>
        </w:tc>
        <w:tc>
          <w:tcPr>
            <w:tcW w:w="8334" w:type="dxa"/>
          </w:tcPr>
          <w:p>
            <w:pPr>
              <w:pStyle w:val="0"/>
            </w:pPr>
            <w:r>
              <w:rPr>
                <w:sz w:val="20"/>
              </w:rPr>
              <w:t xml:space="preserve">городской округ Мегион</w:t>
            </w:r>
          </w:p>
        </w:tc>
      </w:tr>
      <w:tr>
        <w:tc>
          <w:tcPr>
            <w:tcW w:w="737" w:type="dxa"/>
          </w:tcPr>
          <w:p>
            <w:pPr>
              <w:pStyle w:val="0"/>
            </w:pPr>
            <w:r>
              <w:rPr>
                <w:sz w:val="20"/>
              </w:rPr>
              <w:t xml:space="preserve">6</w:t>
            </w:r>
          </w:p>
        </w:tc>
        <w:tc>
          <w:tcPr>
            <w:tcW w:w="8334" w:type="dxa"/>
          </w:tcPr>
          <w:p>
            <w:pPr>
              <w:pStyle w:val="0"/>
            </w:pPr>
            <w:r>
              <w:rPr>
                <w:sz w:val="20"/>
              </w:rPr>
              <w:t xml:space="preserve">городской округ Урай</w:t>
            </w:r>
          </w:p>
        </w:tc>
      </w:tr>
      <w:tr>
        <w:tc>
          <w:tcPr>
            <w:tcW w:w="737" w:type="dxa"/>
          </w:tcPr>
          <w:p>
            <w:pPr>
              <w:pStyle w:val="0"/>
            </w:pPr>
            <w:r>
              <w:rPr>
                <w:sz w:val="20"/>
              </w:rPr>
              <w:t xml:space="preserve">7</w:t>
            </w:r>
          </w:p>
        </w:tc>
        <w:tc>
          <w:tcPr>
            <w:tcW w:w="8334" w:type="dxa"/>
          </w:tcPr>
          <w:p>
            <w:pPr>
              <w:pStyle w:val="0"/>
            </w:pPr>
            <w:r>
              <w:rPr>
                <w:sz w:val="20"/>
              </w:rPr>
              <w:t xml:space="preserve">городской округ Когалым</w:t>
            </w:r>
          </w:p>
        </w:tc>
      </w:tr>
      <w:tr>
        <w:tc>
          <w:tcPr>
            <w:tcW w:w="737" w:type="dxa"/>
          </w:tcPr>
          <w:p>
            <w:pPr>
              <w:pStyle w:val="0"/>
            </w:pPr>
            <w:r>
              <w:rPr>
                <w:sz w:val="20"/>
              </w:rPr>
              <w:t xml:space="preserve">8</w:t>
            </w:r>
          </w:p>
        </w:tc>
        <w:tc>
          <w:tcPr>
            <w:tcW w:w="8334" w:type="dxa"/>
          </w:tcPr>
          <w:p>
            <w:pPr>
              <w:pStyle w:val="0"/>
            </w:pPr>
            <w:r>
              <w:rPr>
                <w:sz w:val="20"/>
              </w:rPr>
              <w:t xml:space="preserve">городской округ Радужный</w:t>
            </w:r>
          </w:p>
        </w:tc>
      </w:tr>
      <w:tr>
        <w:tc>
          <w:tcPr>
            <w:tcW w:w="737" w:type="dxa"/>
          </w:tcPr>
          <w:p>
            <w:pPr>
              <w:pStyle w:val="0"/>
            </w:pPr>
            <w:r>
              <w:rPr>
                <w:sz w:val="20"/>
              </w:rPr>
              <w:t xml:space="preserve">9</w:t>
            </w:r>
          </w:p>
        </w:tc>
        <w:tc>
          <w:tcPr>
            <w:tcW w:w="8334" w:type="dxa"/>
          </w:tcPr>
          <w:p>
            <w:pPr>
              <w:pStyle w:val="0"/>
            </w:pPr>
            <w:r>
              <w:rPr>
                <w:sz w:val="20"/>
              </w:rPr>
              <w:t xml:space="preserve">городской округ Лангепас</w:t>
            </w:r>
          </w:p>
        </w:tc>
      </w:tr>
      <w:tr>
        <w:tc>
          <w:tcPr>
            <w:tcW w:w="737" w:type="dxa"/>
          </w:tcPr>
          <w:p>
            <w:pPr>
              <w:pStyle w:val="0"/>
            </w:pPr>
            <w:r>
              <w:rPr>
                <w:sz w:val="20"/>
              </w:rPr>
              <w:t xml:space="preserve">10</w:t>
            </w:r>
          </w:p>
        </w:tc>
        <w:tc>
          <w:tcPr>
            <w:tcW w:w="8334" w:type="dxa"/>
          </w:tcPr>
          <w:p>
            <w:pPr>
              <w:pStyle w:val="0"/>
            </w:pPr>
            <w:r>
              <w:rPr>
                <w:sz w:val="20"/>
              </w:rPr>
              <w:t xml:space="preserve">городской округ Нягань</w:t>
            </w:r>
          </w:p>
        </w:tc>
      </w:tr>
      <w:tr>
        <w:tc>
          <w:tcPr>
            <w:tcW w:w="737" w:type="dxa"/>
          </w:tcPr>
          <w:p>
            <w:pPr>
              <w:pStyle w:val="0"/>
            </w:pPr>
            <w:r>
              <w:rPr>
                <w:sz w:val="20"/>
              </w:rPr>
              <w:t xml:space="preserve">11</w:t>
            </w:r>
          </w:p>
        </w:tc>
        <w:tc>
          <w:tcPr>
            <w:tcW w:w="8334" w:type="dxa"/>
          </w:tcPr>
          <w:p>
            <w:pPr>
              <w:pStyle w:val="0"/>
            </w:pPr>
            <w:r>
              <w:rPr>
                <w:sz w:val="20"/>
              </w:rPr>
              <w:t xml:space="preserve">городской округ Пыть-Ях</w:t>
            </w:r>
          </w:p>
        </w:tc>
      </w:tr>
      <w:tr>
        <w:tc>
          <w:tcPr>
            <w:tcW w:w="737" w:type="dxa"/>
          </w:tcPr>
          <w:p>
            <w:pPr>
              <w:pStyle w:val="0"/>
            </w:pPr>
            <w:r>
              <w:rPr>
                <w:sz w:val="20"/>
              </w:rPr>
              <w:t xml:space="preserve">12</w:t>
            </w:r>
          </w:p>
        </w:tc>
        <w:tc>
          <w:tcPr>
            <w:tcW w:w="8334" w:type="dxa"/>
          </w:tcPr>
          <w:p>
            <w:pPr>
              <w:pStyle w:val="0"/>
            </w:pPr>
            <w:r>
              <w:rPr>
                <w:sz w:val="20"/>
              </w:rPr>
              <w:t xml:space="preserve">городской округ Покачи</w:t>
            </w:r>
          </w:p>
        </w:tc>
      </w:tr>
      <w:tr>
        <w:tc>
          <w:tcPr>
            <w:tcW w:w="737" w:type="dxa"/>
          </w:tcPr>
          <w:p>
            <w:pPr>
              <w:pStyle w:val="0"/>
            </w:pPr>
            <w:r>
              <w:rPr>
                <w:sz w:val="20"/>
              </w:rPr>
              <w:t xml:space="preserve">13</w:t>
            </w:r>
          </w:p>
        </w:tc>
        <w:tc>
          <w:tcPr>
            <w:tcW w:w="8334" w:type="dxa"/>
          </w:tcPr>
          <w:p>
            <w:pPr>
              <w:pStyle w:val="0"/>
            </w:pPr>
            <w:r>
              <w:rPr>
                <w:sz w:val="20"/>
              </w:rPr>
              <w:t xml:space="preserve">городской округ Югорск</w:t>
            </w:r>
          </w:p>
        </w:tc>
      </w:tr>
      <w:tr>
        <w:tc>
          <w:tcPr>
            <w:tcW w:w="737" w:type="dxa"/>
          </w:tcPr>
          <w:p>
            <w:pPr>
              <w:pStyle w:val="0"/>
            </w:pPr>
            <w:r>
              <w:rPr>
                <w:sz w:val="20"/>
              </w:rPr>
              <w:t xml:space="preserve">14</w:t>
            </w:r>
          </w:p>
        </w:tc>
        <w:tc>
          <w:tcPr>
            <w:tcW w:w="8334" w:type="dxa"/>
          </w:tcPr>
          <w:p>
            <w:pPr>
              <w:pStyle w:val="0"/>
            </w:pPr>
            <w:r>
              <w:rPr>
                <w:sz w:val="20"/>
              </w:rPr>
              <w:t xml:space="preserve">Белоярский муниципальный район</w:t>
            </w:r>
          </w:p>
        </w:tc>
      </w:tr>
      <w:tr>
        <w:tc>
          <w:tcPr>
            <w:tcW w:w="737" w:type="dxa"/>
          </w:tcPr>
          <w:p>
            <w:pPr>
              <w:pStyle w:val="0"/>
            </w:pPr>
            <w:r>
              <w:rPr>
                <w:sz w:val="20"/>
              </w:rPr>
              <w:t xml:space="preserve">15</w:t>
            </w:r>
          </w:p>
        </w:tc>
        <w:tc>
          <w:tcPr>
            <w:tcW w:w="8334" w:type="dxa"/>
          </w:tcPr>
          <w:p>
            <w:pPr>
              <w:pStyle w:val="0"/>
            </w:pPr>
            <w:r>
              <w:rPr>
                <w:sz w:val="20"/>
              </w:rPr>
              <w:t xml:space="preserve">Березовский муниципальный район</w:t>
            </w:r>
          </w:p>
        </w:tc>
      </w:tr>
      <w:tr>
        <w:tc>
          <w:tcPr>
            <w:tcW w:w="737" w:type="dxa"/>
          </w:tcPr>
          <w:p>
            <w:pPr>
              <w:pStyle w:val="0"/>
            </w:pPr>
            <w:r>
              <w:rPr>
                <w:sz w:val="20"/>
              </w:rPr>
              <w:t xml:space="preserve">16</w:t>
            </w:r>
          </w:p>
        </w:tc>
        <w:tc>
          <w:tcPr>
            <w:tcW w:w="8334" w:type="dxa"/>
          </w:tcPr>
          <w:p>
            <w:pPr>
              <w:pStyle w:val="0"/>
            </w:pPr>
            <w:r>
              <w:rPr>
                <w:sz w:val="20"/>
              </w:rPr>
              <w:t xml:space="preserve">Кондинский муниципальный район</w:t>
            </w:r>
          </w:p>
        </w:tc>
      </w:tr>
      <w:tr>
        <w:tc>
          <w:tcPr>
            <w:tcW w:w="737" w:type="dxa"/>
          </w:tcPr>
          <w:p>
            <w:pPr>
              <w:pStyle w:val="0"/>
            </w:pPr>
            <w:r>
              <w:rPr>
                <w:sz w:val="20"/>
              </w:rPr>
              <w:t xml:space="preserve">17</w:t>
            </w:r>
          </w:p>
        </w:tc>
        <w:tc>
          <w:tcPr>
            <w:tcW w:w="8334" w:type="dxa"/>
          </w:tcPr>
          <w:p>
            <w:pPr>
              <w:pStyle w:val="0"/>
            </w:pPr>
            <w:r>
              <w:rPr>
                <w:sz w:val="20"/>
              </w:rPr>
              <w:t xml:space="preserve">Октябрьский муниципальный район</w:t>
            </w:r>
          </w:p>
        </w:tc>
      </w:tr>
      <w:tr>
        <w:tc>
          <w:tcPr>
            <w:tcW w:w="737" w:type="dxa"/>
          </w:tcPr>
          <w:p>
            <w:pPr>
              <w:pStyle w:val="0"/>
            </w:pPr>
            <w:r>
              <w:rPr>
                <w:sz w:val="20"/>
              </w:rPr>
              <w:t xml:space="preserve">18</w:t>
            </w:r>
          </w:p>
        </w:tc>
        <w:tc>
          <w:tcPr>
            <w:tcW w:w="8334" w:type="dxa"/>
          </w:tcPr>
          <w:p>
            <w:pPr>
              <w:pStyle w:val="0"/>
            </w:pPr>
            <w:r>
              <w:rPr>
                <w:sz w:val="20"/>
              </w:rPr>
              <w:t xml:space="preserve">Сургутский муниципальный район</w:t>
            </w:r>
          </w:p>
        </w:tc>
      </w:tr>
      <w:tr>
        <w:tc>
          <w:tcPr>
            <w:tcW w:w="737" w:type="dxa"/>
          </w:tcPr>
          <w:p>
            <w:pPr>
              <w:pStyle w:val="0"/>
            </w:pPr>
            <w:r>
              <w:rPr>
                <w:sz w:val="20"/>
              </w:rPr>
              <w:t xml:space="preserve">19</w:t>
            </w:r>
          </w:p>
        </w:tc>
        <w:tc>
          <w:tcPr>
            <w:tcW w:w="8334" w:type="dxa"/>
          </w:tcPr>
          <w:p>
            <w:pPr>
              <w:pStyle w:val="0"/>
            </w:pPr>
            <w:r>
              <w:rPr>
                <w:sz w:val="20"/>
              </w:rPr>
              <w:t xml:space="preserve">Советский муниципальный район</w:t>
            </w:r>
          </w:p>
        </w:tc>
      </w:tr>
      <w:tr>
        <w:tc>
          <w:tcPr>
            <w:tcW w:w="737" w:type="dxa"/>
          </w:tcPr>
          <w:p>
            <w:pPr>
              <w:pStyle w:val="0"/>
            </w:pPr>
            <w:r>
              <w:rPr>
                <w:sz w:val="20"/>
              </w:rPr>
              <w:t xml:space="preserve">20</w:t>
            </w:r>
          </w:p>
        </w:tc>
        <w:tc>
          <w:tcPr>
            <w:tcW w:w="8334" w:type="dxa"/>
          </w:tcPr>
          <w:p>
            <w:pPr>
              <w:pStyle w:val="0"/>
            </w:pPr>
            <w:r>
              <w:rPr>
                <w:sz w:val="20"/>
              </w:rPr>
              <w:t xml:space="preserve">Ханты-Мансийский муниципальный район</w:t>
            </w:r>
          </w:p>
        </w:tc>
      </w:tr>
      <w:tr>
        <w:tc>
          <w:tcPr>
            <w:tcW w:w="737" w:type="dxa"/>
          </w:tcPr>
          <w:p>
            <w:pPr>
              <w:pStyle w:val="0"/>
            </w:pPr>
            <w:r>
              <w:rPr>
                <w:sz w:val="20"/>
              </w:rPr>
              <w:t xml:space="preserve">21</w:t>
            </w:r>
          </w:p>
        </w:tc>
        <w:tc>
          <w:tcPr>
            <w:tcW w:w="8334" w:type="dxa"/>
          </w:tcPr>
          <w:p>
            <w:pPr>
              <w:pStyle w:val="0"/>
            </w:pPr>
            <w:r>
              <w:rPr>
                <w:sz w:val="20"/>
              </w:rPr>
              <w:t xml:space="preserve">Нижневартовский муниципальный район</w:t>
            </w:r>
          </w:p>
        </w:tc>
      </w:tr>
      <w:tr>
        <w:tc>
          <w:tcPr>
            <w:tcW w:w="737" w:type="dxa"/>
          </w:tcPr>
          <w:p>
            <w:pPr>
              <w:pStyle w:val="0"/>
            </w:pPr>
            <w:r>
              <w:rPr>
                <w:sz w:val="20"/>
              </w:rPr>
              <w:t xml:space="preserve">22</w:t>
            </w:r>
          </w:p>
        </w:tc>
        <w:tc>
          <w:tcPr>
            <w:tcW w:w="8334" w:type="dxa"/>
          </w:tcPr>
          <w:p>
            <w:pPr>
              <w:pStyle w:val="0"/>
            </w:pPr>
            <w:r>
              <w:rPr>
                <w:sz w:val="20"/>
              </w:rPr>
              <w:t xml:space="preserve">Нефтеюганский муниципальный район</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ЮРИДИЧЕСКИМ И ФИЗИЧЕСКИМ ЛИЦАМ</w:t>
      </w:r>
    </w:p>
    <w:p>
      <w:pPr>
        <w:pStyle w:val="2"/>
        <w:jc w:val="center"/>
      </w:pPr>
      <w:r>
        <w:rPr>
          <w:sz w:val="20"/>
        </w:rPr>
        <w:t xml:space="preserve">НА ОРГАНИЗАЦИЮ ВРЕМЕННОГО И ПОСТОЯННОГО ТРУДОУСТРОЙСТВА</w:t>
      </w:r>
    </w:p>
    <w:p>
      <w:pPr>
        <w:pStyle w:val="2"/>
        <w:jc w:val="center"/>
      </w:pPr>
      <w:r>
        <w:rPr>
          <w:sz w:val="20"/>
        </w:rPr>
        <w:t xml:space="preserve">ГРАЖДАН (ДАЛЕЕ - ПОРЯДОК)</w:t>
      </w:r>
    </w:p>
    <w:p>
      <w:pPr>
        <w:pStyle w:val="0"/>
        <w:jc w:val="both"/>
      </w:pPr>
      <w:r>
        <w:rPr>
          <w:sz w:val="20"/>
        </w:rPr>
      </w:r>
    </w:p>
    <w:p>
      <w:pPr>
        <w:pStyle w:val="0"/>
        <w:ind w:firstLine="540"/>
        <w:jc w:val="both"/>
      </w:pPr>
      <w:r>
        <w:rPr>
          <w:sz w:val="20"/>
        </w:rPr>
        <w:t xml:space="preserve">Утратил силу с 17 марта 2023 года. - </w:t>
      </w:r>
      <w:hyperlink w:history="0" r:id="rId313"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ЮРИДИЧЕСКИМ ЛИЦАМ И ИНДИВИДУАЛЬНЫМ</w:t>
      </w:r>
    </w:p>
    <w:p>
      <w:pPr>
        <w:pStyle w:val="2"/>
        <w:jc w:val="center"/>
      </w:pPr>
      <w:r>
        <w:rPr>
          <w:sz w:val="20"/>
        </w:rPr>
        <w:t xml:space="preserve">ПРЕДПРИНИМАТЕЛЯМ ПРИ ОРГАНИЗАЦИИ ВРЕМЕННОГО ТРУДОУСТРОЙСТВА</w:t>
      </w:r>
    </w:p>
    <w:p>
      <w:pPr>
        <w:pStyle w:val="2"/>
        <w:jc w:val="center"/>
      </w:pPr>
      <w:r>
        <w:rPr>
          <w:sz w:val="20"/>
        </w:rPr>
        <w:t xml:space="preserve">ГРАЖДАН, ОСУЖДЕННЫХ К ИСПОЛНЕНИЮ НАКАЗАНИЯ В ВИДЕ ЛИШЕНИЯ</w:t>
      </w:r>
    </w:p>
    <w:p>
      <w:pPr>
        <w:pStyle w:val="2"/>
        <w:jc w:val="center"/>
      </w:pPr>
      <w:r>
        <w:rPr>
          <w:sz w:val="20"/>
        </w:rPr>
        <w:t xml:space="preserve">СВОБОДЫ (ДАЛЕЕ - ПОРЯДОК)</w:t>
      </w:r>
    </w:p>
    <w:p>
      <w:pPr>
        <w:pStyle w:val="0"/>
        <w:jc w:val="both"/>
      </w:pPr>
      <w:r>
        <w:rPr>
          <w:sz w:val="20"/>
        </w:rPr>
      </w:r>
    </w:p>
    <w:p>
      <w:pPr>
        <w:pStyle w:val="0"/>
        <w:ind w:firstLine="540"/>
        <w:jc w:val="both"/>
      </w:pPr>
      <w:r>
        <w:rPr>
          <w:sz w:val="20"/>
        </w:rPr>
        <w:t xml:space="preserve">Утратил силу с 17 марта 2023 года. - </w:t>
      </w:r>
      <w:hyperlink w:history="0" r:id="rId314"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ОРГАНИЗАЦИИ И (ИЛИ) РАБОТОДАТЕЛЮ</w:t>
      </w:r>
    </w:p>
    <w:p>
      <w:pPr>
        <w:pStyle w:val="2"/>
        <w:jc w:val="center"/>
      </w:pPr>
      <w:r>
        <w:rPr>
          <w:sz w:val="20"/>
        </w:rPr>
        <w:t xml:space="preserve">ПРИ ОРГАНИЗАЦИИ ВРЕМЕННОГО ТРУДОУСТРОЙСТВА РАБОТНИКОВ,</w:t>
      </w:r>
    </w:p>
    <w:p>
      <w:pPr>
        <w:pStyle w:val="2"/>
        <w:jc w:val="center"/>
      </w:pPr>
      <w:r>
        <w:rPr>
          <w:sz w:val="20"/>
        </w:rPr>
        <w:t xml:space="preserve">НАХОДЯЩИХСЯ ПОД РИСКОМ УВОЛЬНЕНИЯ (ДАЛЕЕ - ПОРЯДОК)</w:t>
      </w:r>
    </w:p>
    <w:p>
      <w:pPr>
        <w:pStyle w:val="0"/>
        <w:jc w:val="both"/>
      </w:pPr>
      <w:r>
        <w:rPr>
          <w:sz w:val="20"/>
        </w:rPr>
      </w:r>
    </w:p>
    <w:p>
      <w:pPr>
        <w:pStyle w:val="0"/>
        <w:ind w:firstLine="540"/>
        <w:jc w:val="both"/>
      </w:pPr>
      <w:r>
        <w:rPr>
          <w:sz w:val="20"/>
        </w:rPr>
        <w:t xml:space="preserve">Утратил силу с 17 марта 2023 года. - </w:t>
      </w:r>
      <w:hyperlink w:history="0" r:id="rId315"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3018" w:name="P3018"/>
    <w:bookmarkEnd w:id="3018"/>
    <w:p>
      <w:pPr>
        <w:pStyle w:val="2"/>
        <w:jc w:val="center"/>
      </w:pPr>
      <w:r>
        <w:rPr>
          <w:sz w:val="20"/>
        </w:rPr>
        <w:t xml:space="preserve">ПОРЯДОК</w:t>
      </w:r>
    </w:p>
    <w:p>
      <w:pPr>
        <w:pStyle w:val="2"/>
        <w:jc w:val="center"/>
      </w:pPr>
      <w:r>
        <w:rPr>
          <w:sz w:val="20"/>
        </w:rPr>
        <w:t xml:space="preserve">ОРГАНИЗАЦИИ ПРОФЕССИОНАЛЬНОГО ОБУЧЕНИЯ И ДОПОЛНИТЕЛЬНОГО</w:t>
      </w:r>
    </w:p>
    <w:p>
      <w:pPr>
        <w:pStyle w:val="2"/>
        <w:jc w:val="center"/>
      </w:pPr>
      <w:r>
        <w:rPr>
          <w:sz w:val="20"/>
        </w:rPr>
        <w:t xml:space="preserve">ПРОФЕССИОНАЛЬНОГО ОБРАЗОВАНИЯ ОТДЕЛЬНЫХ КАТЕГОРИЙ ГРАЖДАН</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31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27.05.2022 </w:t>
            </w:r>
            <w:hyperlink w:history="0" r:id="rId317"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color w:val="392c69"/>
              </w:rPr>
              <w:t xml:space="preserve">, от 14.10.2022 </w:t>
            </w:r>
            <w:hyperlink w:history="0" r:id="rId318"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color w:val="392c69"/>
              </w:rPr>
              <w:t xml:space="preserve">, от 23.12.2022 </w:t>
            </w:r>
            <w:hyperlink w:history="0" r:id="rId319"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color w:val="392c69"/>
              </w:rPr>
              <w:t xml:space="preserve">,</w:t>
            </w:r>
          </w:p>
          <w:p>
            <w:pPr>
              <w:pStyle w:val="0"/>
              <w:jc w:val="center"/>
            </w:pPr>
            <w:r>
              <w:rPr>
                <w:sz w:val="20"/>
                <w:color w:val="392c69"/>
              </w:rPr>
              <w:t xml:space="preserve">от 10.02.2023 </w:t>
            </w:r>
            <w:hyperlink w:history="0" r:id="rId320"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color w:val="392c69"/>
              </w:rPr>
              <w:t xml:space="preserve">, от 03.03.2023 </w:t>
            </w:r>
            <w:hyperlink w:history="0" r:id="rId321"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68-п</w:t>
              </w:r>
            </w:hyperlink>
            <w:r>
              <w:rPr>
                <w:sz w:val="20"/>
                <w:color w:val="392c69"/>
              </w:rPr>
              <w:t xml:space="preserve">, от 14.07.2023 </w:t>
            </w:r>
            <w:hyperlink w:history="0" r:id="rId32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331-п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Порядок определяет условия организации профессионального обучения и дополнительного профессионального образования отдельных категорий граждан и применяется по направлению "Организация профессионального обучения и дополнительного профессионального образования различных категорий граждан" основного </w:t>
      </w:r>
      <w:hyperlink w:history="0" r:id="rId32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мероприятия 1.1</w:t>
        </w:r>
      </w:hyperlink>
      <w:r>
        <w:rPr>
          <w:sz w:val="20"/>
        </w:rPr>
        <w:t xml:space="preserve"> "Предупреждение безработицы в автономном округе" подпрограммы 1 "Содействие трудоустройству граждан, направлению "Профессиональное обучение и дополнительное профессиональное образование незанятых граждан трудоспособного возраста, в том числе молодых инвалидов" основного </w:t>
      </w:r>
      <w:hyperlink w:history="0" w:anchor="P1135" w:tooltip="2016">
        <w:r>
          <w:rPr>
            <w:sz w:val="20"/>
            <w:color w:val="0000ff"/>
          </w:rPr>
          <w:t xml:space="preserve">мероприятия 4.1</w:t>
        </w:r>
      </w:hyperlink>
      <w:r>
        <w:rPr>
          <w:sz w:val="20"/>
        </w:rP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pPr>
        <w:pStyle w:val="0"/>
        <w:jc w:val="both"/>
      </w:pPr>
      <w:r>
        <w:rPr>
          <w:sz w:val="20"/>
        </w:rPr>
        <w:t xml:space="preserve">(в ред. </w:t>
      </w:r>
      <w:hyperlink w:history="0" r:id="rId32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1.2. Финансовое обеспечение профессионального обучения и дополнительного профессионального образования отдельных категорий граждан осуществляется в пределах средств, выделенных Департаменту труда и занятости населения автономного округа, до которого в соответствии с бюджетным законодательством доведены в установленном порядке лимиты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1.3. В Порядке применяются следующие понятия и сокращения:</w:t>
      </w:r>
    </w:p>
    <w:p>
      <w:pPr>
        <w:pStyle w:val="0"/>
        <w:spacing w:before="200" w:line-rule="auto"/>
        <w:ind w:firstLine="540"/>
        <w:jc w:val="both"/>
      </w:pPr>
      <w:r>
        <w:rPr>
          <w:sz w:val="20"/>
        </w:rPr>
        <w:t xml:space="preserve">Департамент - Департамент труда и занятости населения автономного округа, который является главным распорядителем бюджетных средств;</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женщина - зарегистрированная в установленном законодательством Российской Федерации порядке по месту жительства или по месту пребывания на территории автономного округа и обратившаяся в центр занятости населения в целях поиска работы гражданка Российской Федерации, имеющая детей дошкольного возраста (в возрасте от 0 до 6 лет включительно), не состоящая в трудовых отношениях;</w:t>
      </w:r>
    </w:p>
    <w:p>
      <w:pPr>
        <w:pStyle w:val="0"/>
        <w:jc w:val="both"/>
      </w:pPr>
      <w:r>
        <w:rPr>
          <w:sz w:val="20"/>
        </w:rPr>
        <w:t xml:space="preserve">(в ред. </w:t>
      </w:r>
      <w:hyperlink w:history="0" r:id="rId325"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незанятые граждане трудоспособного возраста - длительно (более 1 года) не работающие и не имеющие профессионального образования, при этом зарегистрированные в центре занятости населения в целях поиска подходящей работы и не признанные в установленном порядке безработными граждане Российской Федерации из числа незанятого населения трудоспособного возраста, зарегистрированные в установленном законодательством Российской Федерации порядке по месту жительства или по месту пребывания на территории автономного округа;</w:t>
      </w:r>
    </w:p>
    <w:p>
      <w:pPr>
        <w:pStyle w:val="0"/>
        <w:jc w:val="both"/>
      </w:pPr>
      <w:r>
        <w:rPr>
          <w:sz w:val="20"/>
        </w:rPr>
        <w:t xml:space="preserve">(в ред. </w:t>
      </w:r>
      <w:hyperlink w:history="0" r:id="rId326"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инвалиды - зарегистрированные в центре занятости населения в целях поиска подходящей работы и не признанные в установленном порядке безработными граждане Российской Федерации из числа незанятых инвалидов в трудоспособном возрасте, в том числе инвалиды молодого возраста (от 18 до 44 лет), зарегистрированные в установленном законодательством Российской Федерации порядке по месту жительства или по месту пребывания на территории автономного округа, которые в соответствии с индивидуальными программами реабилитации или абилитации инвалида нуждаются в профобучении;</w:t>
      </w:r>
    </w:p>
    <w:p>
      <w:pPr>
        <w:pStyle w:val="0"/>
        <w:jc w:val="both"/>
      </w:pPr>
      <w:r>
        <w:rPr>
          <w:sz w:val="20"/>
        </w:rPr>
        <w:t xml:space="preserve">(в ред. </w:t>
      </w:r>
      <w:hyperlink w:history="0" r:id="rId327"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bookmarkStart w:id="3041" w:name="P3041"/>
    <w:bookmarkEnd w:id="3041"/>
    <w:p>
      <w:pPr>
        <w:pStyle w:val="0"/>
        <w:spacing w:before="200" w:line-rule="auto"/>
        <w:ind w:firstLine="540"/>
        <w:jc w:val="both"/>
      </w:pPr>
      <w:r>
        <w:rPr>
          <w:sz w:val="20"/>
        </w:rPr>
        <w:t xml:space="preserve">гражданин - незанятый гражданин Российской Федерации, зарегистрированный в установленном законодательством Российской Федерации порядке по месту жительства или по месту пребывания на территории автономного округа, ищущий работу и готовый приступить к ней из числа лиц:</w:t>
      </w:r>
    </w:p>
    <w:p>
      <w:pPr>
        <w:pStyle w:val="0"/>
        <w:jc w:val="both"/>
      </w:pPr>
      <w:r>
        <w:rPr>
          <w:sz w:val="20"/>
        </w:rPr>
        <w:t xml:space="preserve">(в ред. </w:t>
      </w:r>
      <w:hyperlink w:history="0" r:id="rId328"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предпенсионного возраста (в течение 5 лет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достигших на момент обращения в центр занятости населения в целях поиска подходящей работы возраста 50 лет и старше;</w:t>
      </w:r>
    </w:p>
    <w:bookmarkStart w:id="3045" w:name="P3045"/>
    <w:bookmarkEnd w:id="3045"/>
    <w:p>
      <w:pPr>
        <w:pStyle w:val="0"/>
        <w:spacing w:before="200" w:line-rule="auto"/>
        <w:ind w:firstLine="540"/>
        <w:jc w:val="both"/>
      </w:pPr>
      <w:r>
        <w:rPr>
          <w:sz w:val="20"/>
        </w:rPr>
        <w:t xml:space="preserve">которым в соответствии с законодательством Российской Федерации досрочно назначена страховая пенсия по старости и (или) пенсия за выслугу лет;</w:t>
      </w:r>
    </w:p>
    <w:p>
      <w:pPr>
        <w:pStyle w:val="0"/>
        <w:jc w:val="both"/>
      </w:pPr>
      <w:r>
        <w:rPr>
          <w:sz w:val="20"/>
        </w:rPr>
        <w:t xml:space="preserve">(в ред. </w:t>
      </w:r>
      <w:hyperlink w:history="0" r:id="rId329"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bookmarkStart w:id="3047" w:name="P3047"/>
    <w:bookmarkEnd w:id="3047"/>
    <w:p>
      <w:pPr>
        <w:pStyle w:val="0"/>
        <w:spacing w:before="200" w:line-rule="auto"/>
        <w:ind w:firstLine="540"/>
        <w:jc w:val="both"/>
      </w:pPr>
      <w:r>
        <w:rPr>
          <w:sz w:val="20"/>
        </w:rPr>
        <w:t xml:space="preserve">граждане, вынужденно покинувшие территорию Украины, - зарегистрированные по месту пребывания на территории автономного округа незанятые граждане Украины, граждане Донецкой Народной Республики, граждане Луганской Народной Республики и лица без гражданства, постоянно проживающие на территориях Украины, Донецкой Народной Республики, Луганской Народной Республики, вынужденно покинувшие начиная с 18 февраля 2022 года территорию Украины, Донецкой Народной Республики, Луганской Народной Республики и прибывшие на территорию Российской Федерации в экстренном массовом порядке;</w:t>
      </w:r>
    </w:p>
    <w:p>
      <w:pPr>
        <w:pStyle w:val="0"/>
        <w:jc w:val="both"/>
      </w:pPr>
      <w:r>
        <w:rPr>
          <w:sz w:val="20"/>
        </w:rPr>
        <w:t xml:space="preserve">(абзац введен </w:t>
      </w:r>
      <w:hyperlink w:history="0" r:id="rId330"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27.05.2022 N 228-п; в ред. </w:t>
      </w:r>
      <w:hyperlink w:history="0" r:id="rId331"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абзац утратил силу с 10 февраля 2023 года. - </w:t>
      </w:r>
      <w:hyperlink w:history="0" r:id="rId332"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Постановление</w:t>
        </w:r>
      </w:hyperlink>
      <w:r>
        <w:rPr>
          <w:sz w:val="20"/>
        </w:rPr>
        <w:t xml:space="preserve"> Правительства ХМАО - Югры от 10.02.2023 N 51-п;</w:t>
      </w:r>
    </w:p>
    <w:p>
      <w:pPr>
        <w:pStyle w:val="0"/>
        <w:spacing w:before="200" w:line-rule="auto"/>
        <w:ind w:firstLine="540"/>
        <w:jc w:val="both"/>
      </w:pPr>
      <w:r>
        <w:rPr>
          <w:sz w:val="20"/>
        </w:rPr>
        <w:t xml:space="preserve">мероприятие - профессиональное обучение и дополнительное профессиональное образование различных категорий граждан, включая незанятых граждан трудоспособного возраста, в том числе молодых инвалидов;</w:t>
      </w:r>
    </w:p>
    <w:p>
      <w:pPr>
        <w:pStyle w:val="0"/>
        <w:jc w:val="both"/>
      </w:pPr>
      <w:r>
        <w:rPr>
          <w:sz w:val="20"/>
        </w:rPr>
        <w:t xml:space="preserve">(абзац введен </w:t>
      </w:r>
      <w:hyperlink w:history="0" r:id="rId333"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профобучение - профессиональное обучение и дополнительное профессиональное образование;</w:t>
      </w:r>
    </w:p>
    <w:p>
      <w:pPr>
        <w:pStyle w:val="0"/>
        <w:spacing w:before="200" w:line-rule="auto"/>
        <w:ind w:firstLine="540"/>
        <w:jc w:val="both"/>
      </w:pPr>
      <w:r>
        <w:rPr>
          <w:sz w:val="20"/>
        </w:rPr>
        <w:t xml:space="preserve">ИПРА - индивидуальная программа реабилитации или абилитации инвалида, содержащая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w:t>
      </w:r>
    </w:p>
    <w:p>
      <w:pPr>
        <w:pStyle w:val="0"/>
        <w:spacing w:before="200" w:line-rule="auto"/>
        <w:ind w:firstLine="540"/>
        <w:jc w:val="both"/>
      </w:pPr>
      <w:r>
        <w:rPr>
          <w:sz w:val="20"/>
        </w:rPr>
        <w:t xml:space="preserve">абзац утратил силу. - </w:t>
      </w:r>
      <w:hyperlink w:history="0" r:id="rId334"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27.05.2022 N 228-п;</w:t>
      </w:r>
    </w:p>
    <w:p>
      <w:pPr>
        <w:pStyle w:val="0"/>
        <w:spacing w:before="200" w:line-rule="auto"/>
        <w:ind w:firstLine="540"/>
        <w:jc w:val="both"/>
      </w:pPr>
      <w:r>
        <w:rPr>
          <w:sz w:val="20"/>
        </w:rPr>
        <w:t xml:space="preserve">организация, осуществляющая образовательную деятельность, - образовательная организация, определенная </w:t>
      </w:r>
      <w:hyperlink w:history="0" r:id="rId33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20 статьи 2</w:t>
        </w:r>
      </w:hyperlink>
      <w:r>
        <w:rPr>
          <w:sz w:val="20"/>
        </w:rPr>
        <w:t xml:space="preserve"> Федерального закона от 29 декабря 2012 года N 273-ФЗ "Об образовании в Российской Федерации".</w:t>
      </w:r>
    </w:p>
    <w:bookmarkStart w:id="3056" w:name="P3056"/>
    <w:bookmarkEnd w:id="3056"/>
    <w:p>
      <w:pPr>
        <w:pStyle w:val="0"/>
        <w:spacing w:before="200" w:line-rule="auto"/>
        <w:ind w:firstLine="540"/>
        <w:jc w:val="both"/>
      </w:pPr>
      <w:r>
        <w:rPr>
          <w:sz w:val="20"/>
        </w:rPr>
        <w:t xml:space="preserve">1.4. Категории граждан, являющиеся участниками мероприятия (далее - участники мероприятия):</w:t>
      </w:r>
    </w:p>
    <w:p>
      <w:pPr>
        <w:pStyle w:val="0"/>
        <w:jc w:val="both"/>
      </w:pPr>
      <w:r>
        <w:rPr>
          <w:sz w:val="20"/>
        </w:rPr>
        <w:t xml:space="preserve">(в ред. </w:t>
      </w:r>
      <w:hyperlink w:history="0" r:id="rId336"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1.4.1. Женщины.</w:t>
      </w:r>
    </w:p>
    <w:p>
      <w:pPr>
        <w:pStyle w:val="0"/>
        <w:spacing w:before="200" w:line-rule="auto"/>
        <w:ind w:firstLine="540"/>
        <w:jc w:val="both"/>
      </w:pPr>
      <w:r>
        <w:rPr>
          <w:sz w:val="20"/>
        </w:rPr>
        <w:t xml:space="preserve">1.4.2. Незанятые граждане трудоспособного возраста.</w:t>
      </w:r>
    </w:p>
    <w:bookmarkStart w:id="3060" w:name="P3060"/>
    <w:bookmarkEnd w:id="3060"/>
    <w:p>
      <w:pPr>
        <w:pStyle w:val="0"/>
        <w:spacing w:before="200" w:line-rule="auto"/>
        <w:ind w:firstLine="540"/>
        <w:jc w:val="both"/>
      </w:pPr>
      <w:r>
        <w:rPr>
          <w:sz w:val="20"/>
        </w:rPr>
        <w:t xml:space="preserve">1.4.3. Инвалиды.</w:t>
      </w:r>
    </w:p>
    <w:p>
      <w:pPr>
        <w:pStyle w:val="0"/>
        <w:spacing w:before="200" w:line-rule="auto"/>
        <w:ind w:firstLine="540"/>
        <w:jc w:val="both"/>
      </w:pPr>
      <w:r>
        <w:rPr>
          <w:sz w:val="20"/>
        </w:rPr>
        <w:t xml:space="preserve">1.4.4. Граждане.</w:t>
      </w:r>
    </w:p>
    <w:p>
      <w:pPr>
        <w:pStyle w:val="0"/>
        <w:spacing w:before="200" w:line-rule="auto"/>
        <w:ind w:firstLine="540"/>
        <w:jc w:val="both"/>
      </w:pPr>
      <w:r>
        <w:rPr>
          <w:sz w:val="20"/>
        </w:rPr>
        <w:t xml:space="preserve">1.4.5. Граждане, вынужденно покинувшие территорию Украины.</w:t>
      </w:r>
    </w:p>
    <w:p>
      <w:pPr>
        <w:pStyle w:val="0"/>
        <w:spacing w:before="200" w:line-rule="auto"/>
        <w:ind w:firstLine="540"/>
        <w:jc w:val="both"/>
      </w:pPr>
      <w:r>
        <w:rPr>
          <w:sz w:val="20"/>
        </w:rPr>
        <w:t xml:space="preserve">1.4.6. Утратил силу с 10 февраля 2023 года. - </w:t>
      </w:r>
      <w:hyperlink w:history="0" r:id="rId337"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Постановление</w:t>
        </w:r>
      </w:hyperlink>
      <w:r>
        <w:rPr>
          <w:sz w:val="20"/>
        </w:rPr>
        <w:t xml:space="preserve"> Правительства ХМАО - Югры от 10.02.2023 N 51-п.</w:t>
      </w:r>
    </w:p>
    <w:p>
      <w:pPr>
        <w:pStyle w:val="0"/>
        <w:jc w:val="both"/>
      </w:pPr>
      <w:r>
        <w:rPr>
          <w:sz w:val="20"/>
        </w:rPr>
        <w:t xml:space="preserve">(п. 1.4 в ред. </w:t>
      </w:r>
      <w:hyperlink w:history="0" r:id="rId338"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1.5. Средства бюджета автономного округа, предусмотренные на реализацию мероприятия, направляются на:</w:t>
      </w:r>
    </w:p>
    <w:p>
      <w:pPr>
        <w:pStyle w:val="0"/>
        <w:spacing w:before="200" w:line-rule="auto"/>
        <w:ind w:firstLine="540"/>
        <w:jc w:val="both"/>
      </w:pPr>
      <w:r>
        <w:rPr>
          <w:sz w:val="20"/>
        </w:rPr>
        <w:t xml:space="preserve">оплату услуг образовательных организаций, осуществляющих профобучение;</w:t>
      </w:r>
    </w:p>
    <w:p>
      <w:pPr>
        <w:pStyle w:val="0"/>
        <w:spacing w:before="200" w:line-rule="auto"/>
        <w:ind w:firstLine="540"/>
        <w:jc w:val="both"/>
      </w:pPr>
      <w:r>
        <w:rPr>
          <w:sz w:val="20"/>
        </w:rPr>
        <w:t xml:space="preserve">выплату в период профессионального обучения и дополнительного профессионального образования стипендии;</w:t>
      </w:r>
    </w:p>
    <w:p>
      <w:pPr>
        <w:pStyle w:val="0"/>
        <w:jc w:val="both"/>
      </w:pPr>
      <w:r>
        <w:rPr>
          <w:sz w:val="20"/>
        </w:rPr>
        <w:t xml:space="preserve">(в ред. </w:t>
      </w:r>
      <w:hyperlink w:history="0" r:id="rId339"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абзацы четвертый - пятый утратили силу. - </w:t>
      </w:r>
      <w:hyperlink w:history="0" r:id="rId340"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27.05.2022 N 228-п;</w:t>
      </w:r>
    </w:p>
    <w:p>
      <w:pPr>
        <w:pStyle w:val="0"/>
        <w:spacing w:before="200" w:line-rule="auto"/>
        <w:ind w:firstLine="540"/>
        <w:jc w:val="both"/>
      </w:pPr>
      <w:r>
        <w:rPr>
          <w:sz w:val="20"/>
        </w:rPr>
        <w:t xml:space="preserve">комиссионное вознаграждение по банковским операциям, возникающим при выплате стипендии, в размере не более 0,5% от перечисляемой суммы;</w:t>
      </w:r>
    </w:p>
    <w:p>
      <w:pPr>
        <w:pStyle w:val="0"/>
        <w:spacing w:before="200" w:line-rule="auto"/>
        <w:ind w:firstLine="540"/>
        <w:jc w:val="both"/>
      </w:pPr>
      <w:r>
        <w:rPr>
          <w:sz w:val="20"/>
        </w:rPr>
        <w:t xml:space="preserve">оплату медицинского осмотра перед направлением на профобучение по профессии (специальности), требующей медицинского осмотра;</w:t>
      </w:r>
    </w:p>
    <w:p>
      <w:pPr>
        <w:pStyle w:val="0"/>
        <w:spacing w:before="200" w:line-rule="auto"/>
        <w:ind w:firstLine="540"/>
        <w:jc w:val="both"/>
      </w:pPr>
      <w:r>
        <w:rPr>
          <w:sz w:val="20"/>
        </w:rPr>
        <w:t xml:space="preserve">компенсацию расходов, связанных с направлением на обучение в другую местность.</w:t>
      </w:r>
    </w:p>
    <w:p>
      <w:pPr>
        <w:pStyle w:val="0"/>
        <w:spacing w:before="200" w:line-rule="auto"/>
        <w:ind w:firstLine="540"/>
        <w:jc w:val="both"/>
      </w:pPr>
      <w:r>
        <w:rPr>
          <w:sz w:val="20"/>
        </w:rPr>
        <w:t xml:space="preserve">1.6. Для организации профобучения центр занятости населения осуществляет отбор организаций, осуществляющих образовательную деятельность,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 организациями, осуществляющими образовательную деятельность, по итогам проведенного отбора центр занятости населения заключает государственные контракты (договоры).</w:t>
      </w:r>
    </w:p>
    <w:p>
      <w:pPr>
        <w:pStyle w:val="0"/>
        <w:spacing w:before="200" w:line-rule="auto"/>
        <w:ind w:firstLine="540"/>
        <w:jc w:val="both"/>
      </w:pPr>
      <w:r>
        <w:rPr>
          <w:sz w:val="20"/>
        </w:rPr>
        <w:t xml:space="preserve">В государственном контракте (договоре) указываются сведения о наименовании организации, осуществляющей образовательную деятельность, образовательных программах, формах обучения, в том числе информация о возможности организации дистанционного обучения, профессиях (специальностях), продолжительности обучения, виде обучения, сроках обучения, месторасположении организации, номерах контактных телефонов.</w:t>
      </w:r>
    </w:p>
    <w:p>
      <w:pPr>
        <w:pStyle w:val="0"/>
        <w:spacing w:before="200" w:line-rule="auto"/>
        <w:ind w:firstLine="540"/>
        <w:jc w:val="both"/>
      </w:pPr>
      <w:r>
        <w:rPr>
          <w:sz w:val="20"/>
        </w:rPr>
        <w:t xml:space="preserve">1.7. По результатам отбора центр занятости населения составляет перечень организаций, осуществляющих образовательную деятельность, содержащий сведения о профессиях, специальностях, направлениях подготовки, продолжительности обучения, месторасположении, схемах проезда, номерах контактных телефонов.</w:t>
      </w:r>
    </w:p>
    <w:p>
      <w:pPr>
        <w:pStyle w:val="0"/>
        <w:spacing w:before="200" w:line-rule="auto"/>
        <w:ind w:firstLine="540"/>
        <w:jc w:val="both"/>
      </w:pPr>
      <w:r>
        <w:rPr>
          <w:sz w:val="20"/>
        </w:rPr>
        <w:t xml:space="preserve">1.8. Профобучение осуществляется:</w:t>
      </w:r>
    </w:p>
    <w:p>
      <w:pPr>
        <w:pStyle w:val="0"/>
        <w:spacing w:before="200" w:line-rule="auto"/>
        <w:ind w:firstLine="540"/>
        <w:jc w:val="both"/>
      </w:pPr>
      <w:r>
        <w:rPr>
          <w:sz w:val="20"/>
        </w:rPr>
        <w:t xml:space="preserve">по профессиям (специальностям), востребованным на рынке труда автономного округа, или под гарантированное работодателем рабочее место в целях обеспечения дальнейшей занятости граждан, успешно завершивших профобучение;</w:t>
      </w:r>
    </w:p>
    <w:p>
      <w:pPr>
        <w:pStyle w:val="0"/>
        <w:spacing w:before="200" w:line-rule="auto"/>
        <w:ind w:firstLine="540"/>
        <w:jc w:val="both"/>
      </w:pPr>
      <w:r>
        <w:rPr>
          <w:sz w:val="20"/>
        </w:rPr>
        <w:t xml:space="preserve">по очной, заочной, очно-заочной формам обучения, в том числе с применением дистанционных образовательных технологий, на базе организаций, осуществляющих образовательную деятельность, имеющих лицензии на право ее ведения, выданных в установленном законодательством Российской Федерации порядке (обучение может быть курсовым (групповым) или индивидуальным);</w:t>
      </w:r>
    </w:p>
    <w:p>
      <w:pPr>
        <w:pStyle w:val="0"/>
        <w:jc w:val="both"/>
      </w:pPr>
      <w:r>
        <w:rPr>
          <w:sz w:val="20"/>
        </w:rPr>
        <w:t xml:space="preserve">(в ред. </w:t>
      </w:r>
      <w:hyperlink w:history="0" r:id="rId34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по направлению центра занятости населения.</w:t>
      </w:r>
    </w:p>
    <w:p>
      <w:pPr>
        <w:pStyle w:val="0"/>
        <w:spacing w:before="200" w:line-rule="auto"/>
        <w:ind w:firstLine="540"/>
        <w:jc w:val="both"/>
      </w:pPr>
      <w:r>
        <w:rPr>
          <w:sz w:val="20"/>
        </w:rPr>
        <w:t xml:space="preserve">1.9. Направлению на обучение предшествует профессиональная ориентация с целью выявления возможных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возможным направлениям прохождения профессионального обучения и (или) получения дополнительного профессионального образования, наиболее соответствующих способностям, физическим и (или) психологическим качествам, ограниченным возможностям здоровья.</w:t>
      </w:r>
    </w:p>
    <w:bookmarkStart w:id="3083" w:name="P3083"/>
    <w:bookmarkEnd w:id="3083"/>
    <w:p>
      <w:pPr>
        <w:pStyle w:val="0"/>
        <w:spacing w:before="200" w:line-rule="auto"/>
        <w:ind w:firstLine="540"/>
        <w:jc w:val="both"/>
      </w:pPr>
      <w:r>
        <w:rPr>
          <w:sz w:val="20"/>
        </w:rPr>
        <w:t xml:space="preserve">1.10. Для участия в мероприятии его участники представляют в центр занятости населения следующие документы:</w:t>
      </w:r>
    </w:p>
    <w:p>
      <w:pPr>
        <w:pStyle w:val="0"/>
        <w:jc w:val="both"/>
      </w:pPr>
      <w:r>
        <w:rPr>
          <w:sz w:val="20"/>
        </w:rPr>
        <w:t xml:space="preserve">(в ред. </w:t>
      </w:r>
      <w:hyperlink w:history="0" r:id="rId342"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bookmarkStart w:id="3085" w:name="P3085"/>
    <w:bookmarkEnd w:id="3085"/>
    <w:p>
      <w:pPr>
        <w:pStyle w:val="0"/>
        <w:spacing w:before="200" w:line-rule="auto"/>
        <w:ind w:firstLine="540"/>
        <w:jc w:val="both"/>
      </w:pPr>
      <w:r>
        <w:rPr>
          <w:sz w:val="20"/>
        </w:rPr>
        <w:t xml:space="preserve">1.10.1. Заявление по утвержденной Департаментом форме.</w:t>
      </w:r>
    </w:p>
    <w:p>
      <w:pPr>
        <w:pStyle w:val="0"/>
        <w:spacing w:before="200" w:line-rule="auto"/>
        <w:ind w:firstLine="540"/>
        <w:jc w:val="both"/>
      </w:pPr>
      <w:r>
        <w:rPr>
          <w:sz w:val="20"/>
        </w:rPr>
        <w:t xml:space="preserve">1.10.2. Паспорт или документ его заменяющий.</w:t>
      </w:r>
    </w:p>
    <w:p>
      <w:pPr>
        <w:pStyle w:val="0"/>
        <w:spacing w:before="200" w:line-rule="auto"/>
        <w:ind w:firstLine="540"/>
        <w:jc w:val="both"/>
      </w:pPr>
      <w:r>
        <w:rPr>
          <w:sz w:val="20"/>
        </w:rPr>
        <w:t xml:space="preserve">1.10.3. Документ об образовании и (или) о квалификации, документ об обучении (для граждан, вынужденно покинувших территорию Украины, при наличии):</w:t>
      </w:r>
    </w:p>
    <w:p>
      <w:pPr>
        <w:pStyle w:val="0"/>
        <w:jc w:val="both"/>
      </w:pPr>
      <w:r>
        <w:rPr>
          <w:sz w:val="20"/>
        </w:rPr>
        <w:t xml:space="preserve">(в ред. </w:t>
      </w:r>
      <w:hyperlink w:history="0" r:id="rId343"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среднее профессиональное образование подтверждается дипломом о среднем профессиональном образовании.</w:t>
      </w:r>
    </w:p>
    <w:p>
      <w:pPr>
        <w:pStyle w:val="0"/>
        <w:spacing w:before="200" w:line-rule="auto"/>
        <w:ind w:firstLine="540"/>
        <w:jc w:val="both"/>
      </w:pPr>
      <w:r>
        <w:rPr>
          <w:sz w:val="20"/>
        </w:rPr>
        <w:t xml:space="preserve">высшее образование - бакалавриат подтверждается дипломом бакалавра;</w:t>
      </w:r>
    </w:p>
    <w:p>
      <w:pPr>
        <w:pStyle w:val="0"/>
        <w:spacing w:before="200" w:line-rule="auto"/>
        <w:ind w:firstLine="540"/>
        <w:jc w:val="both"/>
      </w:pPr>
      <w:r>
        <w:rPr>
          <w:sz w:val="20"/>
        </w:rPr>
        <w:t xml:space="preserve">высшее образование - специалитет подтверждается дипломом специалиста;</w:t>
      </w:r>
    </w:p>
    <w:p>
      <w:pPr>
        <w:pStyle w:val="0"/>
        <w:spacing w:before="200" w:line-rule="auto"/>
        <w:ind w:firstLine="540"/>
        <w:jc w:val="both"/>
      </w:pPr>
      <w:r>
        <w:rPr>
          <w:sz w:val="20"/>
        </w:rPr>
        <w:t xml:space="preserve">высшее образование - магистратура подтверждается дипломом магистра;</w:t>
      </w:r>
    </w:p>
    <w:p>
      <w:pPr>
        <w:pStyle w:val="0"/>
        <w:spacing w:before="200" w:line-rule="auto"/>
        <w:ind w:firstLine="540"/>
        <w:jc w:val="both"/>
      </w:pPr>
      <w:r>
        <w:rPr>
          <w:sz w:val="20"/>
        </w:rPr>
        <w:t xml:space="preserve">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pPr>
        <w:pStyle w:val="0"/>
        <w:spacing w:before="200" w:line-rule="auto"/>
        <w:ind w:firstLine="540"/>
        <w:jc w:val="both"/>
      </w:pPr>
      <w:r>
        <w:rPr>
          <w:sz w:val="20"/>
        </w:rPr>
        <w:t xml:space="preserve">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w:history="0" r:id="rId344"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от 23 августа 1996 года N 127-ФЗ "О науке и государственной научно-технической политике", и свидетельство об окончании аспирантуры (адъюнктуры);</w:t>
      </w:r>
    </w:p>
    <w:p>
      <w:pPr>
        <w:pStyle w:val="0"/>
        <w:spacing w:before="200" w:line-rule="auto"/>
        <w:ind w:firstLine="540"/>
        <w:jc w:val="both"/>
      </w:pPr>
      <w:r>
        <w:rPr>
          <w:sz w:val="20"/>
        </w:rPr>
        <w:t xml:space="preserve">в случае отсутствия документа об образовании и квалификации - документ об образовании:</w:t>
      </w:r>
    </w:p>
    <w:p>
      <w:pPr>
        <w:pStyle w:val="0"/>
        <w:spacing w:before="200" w:line-rule="auto"/>
        <w:ind w:firstLine="540"/>
        <w:jc w:val="both"/>
      </w:pPr>
      <w:r>
        <w:rPr>
          <w:sz w:val="20"/>
        </w:rPr>
        <w:t xml:space="preserve">основное общее образование подтверждается аттестатом об основном общем образовании;</w:t>
      </w:r>
    </w:p>
    <w:p>
      <w:pPr>
        <w:pStyle w:val="0"/>
        <w:spacing w:before="200" w:line-rule="auto"/>
        <w:ind w:firstLine="540"/>
        <w:jc w:val="both"/>
      </w:pPr>
      <w:r>
        <w:rPr>
          <w:sz w:val="20"/>
        </w:rPr>
        <w:t xml:space="preserve">среднее общее образование подтверждается аттестатом о среднем общем образовании;</w:t>
      </w:r>
    </w:p>
    <w:p>
      <w:pPr>
        <w:pStyle w:val="0"/>
        <w:spacing w:before="200" w:line-rule="auto"/>
        <w:ind w:firstLine="540"/>
        <w:jc w:val="both"/>
      </w:pPr>
      <w:r>
        <w:rPr>
          <w:sz w:val="20"/>
        </w:rPr>
        <w:t xml:space="preserve">лицам, указанным в </w:t>
      </w:r>
      <w:hyperlink w:history="0" w:anchor="P3060" w:tooltip="1.4.3. Инвалиды.">
        <w:r>
          <w:rPr>
            <w:sz w:val="20"/>
            <w:color w:val="0000ff"/>
          </w:rPr>
          <w:t xml:space="preserve">подпункте 1.4.3 пункта 1.4</w:t>
        </w:r>
      </w:hyperlink>
      <w:r>
        <w:rPr>
          <w:sz w:val="20"/>
        </w:rPr>
        <w:t xml:space="preserve"> Порядка,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w:t>
      </w:r>
    </w:p>
    <w:p>
      <w:pPr>
        <w:pStyle w:val="0"/>
        <w:jc w:val="both"/>
      </w:pPr>
      <w:r>
        <w:rPr>
          <w:sz w:val="20"/>
        </w:rPr>
        <w:t xml:space="preserve">(абзац введен </w:t>
      </w:r>
      <w:hyperlink w:history="0" r:id="rId345"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Абзацы одиннадцатый - тринадцатый утратили силу. - </w:t>
      </w:r>
      <w:hyperlink w:history="0" r:id="rId34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13.05.2022 N 194-п.</w:t>
      </w:r>
    </w:p>
    <w:p>
      <w:pPr>
        <w:pStyle w:val="0"/>
        <w:spacing w:before="200" w:line-rule="auto"/>
        <w:ind w:firstLine="540"/>
        <w:jc w:val="both"/>
      </w:pPr>
      <w:r>
        <w:rPr>
          <w:sz w:val="20"/>
        </w:rPr>
        <w:t xml:space="preserve">1.10.4. Копию трудовой книжки (при ее наличии) или сведения о трудовой деятельности, представляемые из информационных ресурсов Фонда пенсионного и социального страхования Российской Федерации.</w:t>
      </w:r>
    </w:p>
    <w:p>
      <w:pPr>
        <w:pStyle w:val="0"/>
        <w:jc w:val="both"/>
      </w:pPr>
      <w:r>
        <w:rPr>
          <w:sz w:val="20"/>
        </w:rPr>
        <w:t xml:space="preserve">(пп. 1.10.4 введен </w:t>
      </w:r>
      <w:hyperlink w:history="0" r:id="rId347"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 в ред. </w:t>
      </w:r>
      <w:hyperlink w:history="0" r:id="rId348"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03.03.2023 N 68-п)</w:t>
      </w:r>
    </w:p>
    <w:p>
      <w:pPr>
        <w:pStyle w:val="0"/>
        <w:spacing w:before="200" w:line-rule="auto"/>
        <w:ind w:firstLine="540"/>
        <w:jc w:val="both"/>
      </w:pPr>
      <w:r>
        <w:rPr>
          <w:sz w:val="20"/>
        </w:rPr>
        <w:t xml:space="preserve">1.10.5. Свидетельство о заключении брака или иной документ, подтверждающий подлинность документа об образовании (в случае изменения фамилии).</w:t>
      </w:r>
    </w:p>
    <w:p>
      <w:pPr>
        <w:pStyle w:val="0"/>
        <w:jc w:val="both"/>
      </w:pPr>
      <w:r>
        <w:rPr>
          <w:sz w:val="20"/>
        </w:rPr>
        <w:t xml:space="preserve">(пп. 1.10.5 введен </w:t>
      </w:r>
      <w:hyperlink w:history="0" r:id="rId34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1.10.6. Гарантийное письмо работодателя о трудоустройстве после прохождения профобучения - в случае если участники мероприятия желают обучиться для трудоустройства на гарантированное рабочее место.</w:t>
      </w:r>
    </w:p>
    <w:p>
      <w:pPr>
        <w:pStyle w:val="0"/>
        <w:jc w:val="both"/>
      </w:pPr>
      <w:r>
        <w:rPr>
          <w:sz w:val="20"/>
        </w:rPr>
        <w:t xml:space="preserve">(пп. 1.10.6 введен </w:t>
      </w:r>
      <w:hyperlink w:history="0" r:id="rId350"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 в ред. </w:t>
      </w:r>
      <w:hyperlink w:history="0" r:id="rId351"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1.10.7. Один из перечисленных ниже документов (сведений), подтверждающих законные основания пребывания на территории Российской Федерации (для граждан, вынужденно покинувших территорию Украины):</w:t>
      </w:r>
    </w:p>
    <w:p>
      <w:pPr>
        <w:pStyle w:val="0"/>
        <w:spacing w:before="200" w:line-rule="auto"/>
        <w:ind w:firstLine="540"/>
        <w:jc w:val="both"/>
      </w:pPr>
      <w:r>
        <w:rPr>
          <w:sz w:val="20"/>
        </w:rPr>
        <w:t xml:space="preserve">миграционная карта и отрывная часть уведомления о прибытии иностранного гражданина или лица без гражданства в место пребывания с отметкой, проставляемой в установленном порядке территориальным органом МВД России, многофункциональным центром, гостиницей, организацией федеральной почтовой связи. Если уведомление о прибытии иностранного гражданина в место пребывания подано в электронной форме, то копия отрывной части указанного уведомления, подписанной усиленной квалифицированной электронной подписью должностного лица территориального органа МВД России;</w:t>
      </w:r>
    </w:p>
    <w:p>
      <w:pPr>
        <w:pStyle w:val="0"/>
        <w:spacing w:before="200" w:line-rule="auto"/>
        <w:ind w:firstLine="540"/>
        <w:jc w:val="both"/>
      </w:pPr>
      <w:r>
        <w:rPr>
          <w:sz w:val="20"/>
        </w:rPr>
        <w:t xml:space="preserve">отметка в документе, удостоверяющем личность, о пересечении государственной границы при въезде на территорию Российской Федерации после 18 февраля 2022 года;</w:t>
      </w:r>
    </w:p>
    <w:p>
      <w:pPr>
        <w:pStyle w:val="0"/>
        <w:spacing w:before="200" w:line-rule="auto"/>
        <w:ind w:firstLine="540"/>
        <w:jc w:val="both"/>
      </w:pPr>
      <w:r>
        <w:rPr>
          <w:sz w:val="20"/>
        </w:rPr>
        <w:t xml:space="preserve">отрывная часть заявления иностранного гражданина или лица без гражданства о регистрации по месту жительства с отметкой, проставляемой в установленном порядке территориальным органом МВД России;</w:t>
      </w:r>
    </w:p>
    <w:p>
      <w:pPr>
        <w:pStyle w:val="0"/>
        <w:spacing w:before="200" w:line-rule="auto"/>
        <w:ind w:firstLine="540"/>
        <w:jc w:val="both"/>
      </w:pPr>
      <w:r>
        <w:rPr>
          <w:sz w:val="20"/>
        </w:rPr>
        <w:t xml:space="preserve">разрешение на временное проживание с отметкой о регистрации по месту жительства;</w:t>
      </w:r>
    </w:p>
    <w:p>
      <w:pPr>
        <w:pStyle w:val="0"/>
        <w:spacing w:before="200" w:line-rule="auto"/>
        <w:ind w:firstLine="540"/>
        <w:jc w:val="both"/>
      </w:pPr>
      <w:r>
        <w:rPr>
          <w:sz w:val="20"/>
        </w:rPr>
        <w:t xml:space="preserve">вид на жительство с отметкой о регистрации по месту жительства.</w:t>
      </w:r>
    </w:p>
    <w:p>
      <w:pPr>
        <w:pStyle w:val="0"/>
        <w:jc w:val="both"/>
      </w:pPr>
      <w:r>
        <w:rPr>
          <w:sz w:val="20"/>
        </w:rPr>
        <w:t xml:space="preserve">(пп. 1.10.7 в ред. </w:t>
      </w:r>
      <w:hyperlink w:history="0" r:id="rId352"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1.11. Продолжительность профобучения участников мероприятий устанавливается профессиональными образовательными программами и не должна превышать 6 месяцев.</w:t>
      </w:r>
    </w:p>
    <w:p>
      <w:pPr>
        <w:pStyle w:val="0"/>
        <w:jc w:val="both"/>
      </w:pPr>
      <w:r>
        <w:rPr>
          <w:sz w:val="20"/>
        </w:rPr>
        <w:t xml:space="preserve">(в ред. постановлений Правительства ХМАО - Югры от 27.05.2022 </w:t>
      </w:r>
      <w:hyperlink w:history="0" r:id="rId353"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14.10.2022 </w:t>
      </w:r>
      <w:hyperlink w:history="0" r:id="rId354"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rPr>
        <w:t xml:space="preserve">)</w:t>
      </w:r>
    </w:p>
    <w:p>
      <w:pPr>
        <w:pStyle w:val="0"/>
        <w:jc w:val="both"/>
      </w:pPr>
      <w:r>
        <w:rPr>
          <w:sz w:val="20"/>
        </w:rPr>
      </w:r>
    </w:p>
    <w:p>
      <w:pPr>
        <w:pStyle w:val="2"/>
        <w:outlineLvl w:val="1"/>
        <w:jc w:val="center"/>
      </w:pPr>
      <w:r>
        <w:rPr>
          <w:sz w:val="20"/>
        </w:rPr>
        <w:t xml:space="preserve">Раздел II. ОРГАНИЗАЦИЯ ПРОФОБУЧЕНИЯ ЖЕНЩИН</w:t>
      </w:r>
    </w:p>
    <w:p>
      <w:pPr>
        <w:pStyle w:val="0"/>
        <w:jc w:val="both"/>
      </w:pPr>
      <w:r>
        <w:rPr>
          <w:sz w:val="20"/>
        </w:rPr>
      </w:r>
    </w:p>
    <w:bookmarkStart w:id="3119" w:name="P3119"/>
    <w:bookmarkEnd w:id="3119"/>
    <w:p>
      <w:pPr>
        <w:pStyle w:val="0"/>
        <w:ind w:firstLine="540"/>
        <w:jc w:val="both"/>
      </w:pPr>
      <w:r>
        <w:rPr>
          <w:sz w:val="20"/>
        </w:rPr>
        <w:t xml:space="preserve">2.1. Для участия в мероприятии женщина представляет в центр занятости населения помимо документов, указанных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пункте 1.10</w:t>
        </w:r>
      </w:hyperlink>
      <w:r>
        <w:rPr>
          <w:sz w:val="20"/>
        </w:rPr>
        <w:t xml:space="preserve"> Порядка, свидетельство о рождении (усыновлении) ребенка или документ, подтверждающий опеку (попечительство) над ребенком.</w:t>
      </w:r>
    </w:p>
    <w:p>
      <w:pPr>
        <w:pStyle w:val="0"/>
        <w:jc w:val="both"/>
      </w:pPr>
      <w:r>
        <w:rPr>
          <w:sz w:val="20"/>
        </w:rPr>
        <w:t xml:space="preserve">(п. 2.1 в ред. </w:t>
      </w:r>
      <w:hyperlink w:history="0" r:id="rId355"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2.2. Центр занятости населения:</w:t>
      </w:r>
    </w:p>
    <w:p>
      <w:pPr>
        <w:pStyle w:val="0"/>
        <w:spacing w:before="200" w:line-rule="auto"/>
        <w:ind w:firstLine="540"/>
        <w:jc w:val="both"/>
      </w:pPr>
      <w:r>
        <w:rPr>
          <w:sz w:val="20"/>
        </w:rPr>
        <w:t xml:space="preserve">2.2.1. Регистрирует заявление женщины и документы, указанные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пунктах 1.10</w:t>
        </w:r>
      </w:hyperlink>
      <w:r>
        <w:rPr>
          <w:sz w:val="20"/>
        </w:rPr>
        <w:t xml:space="preserve"> и </w:t>
      </w:r>
      <w:hyperlink w:history="0" w:anchor="P3119" w:tooltip="2.1. Для участия в мероприятии женщина представляет в центр занятости населения помимо документов, указанных в пункте 1.10 Порядка, свидетельство о рождении (усыновлении) ребенка или документ, подтверждающий опеку (попечительство) над ребенком.">
        <w:r>
          <w:rPr>
            <w:sz w:val="20"/>
            <w:color w:val="0000ff"/>
          </w:rPr>
          <w:t xml:space="preserve">2.1</w:t>
        </w:r>
      </w:hyperlink>
      <w:r>
        <w:rPr>
          <w:sz w:val="20"/>
        </w:rPr>
        <w:t xml:space="preserve"> Порядка, в день их поступления в программно-техническом комплексе "Катарсис".</w:t>
      </w:r>
    </w:p>
    <w:p>
      <w:pPr>
        <w:pStyle w:val="0"/>
        <w:spacing w:before="200" w:line-rule="auto"/>
        <w:ind w:firstLine="540"/>
        <w:jc w:val="both"/>
      </w:pPr>
      <w:r>
        <w:rPr>
          <w:sz w:val="20"/>
        </w:rPr>
        <w:t xml:space="preserve">2.2.2. Снимает сканированные копии с оригиналов документов, указанных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пунктах 1.10</w:t>
        </w:r>
      </w:hyperlink>
      <w:r>
        <w:rPr>
          <w:sz w:val="20"/>
        </w:rPr>
        <w:t xml:space="preserve"> и </w:t>
      </w:r>
      <w:hyperlink w:history="0" w:anchor="P3119" w:tooltip="2.1. Для участия в мероприятии женщина представляет в центр занятости населения помимо документов, указанных в пункте 1.10 Порядка, свидетельство о рождении (усыновлении) ребенка или документ, подтверждающий опеку (попечительство) над ребенком.">
        <w:r>
          <w:rPr>
            <w:sz w:val="20"/>
            <w:color w:val="0000ff"/>
          </w:rPr>
          <w:t xml:space="preserve">2.1</w:t>
        </w:r>
      </w:hyperlink>
      <w:r>
        <w:rPr>
          <w:sz w:val="20"/>
        </w:rPr>
        <w:t xml:space="preserve"> Порядка (в день их поступления), заверяет их в установленном порядке, после чего оригиналы возвращает женщине, обеспечивает вложение и хранение сканированных копий документов в электронном личном деле получателя государственных услуг в сфере занятости населения.</w:t>
      </w:r>
    </w:p>
    <w:p>
      <w:pPr>
        <w:pStyle w:val="0"/>
        <w:spacing w:before="200" w:line-rule="auto"/>
        <w:ind w:firstLine="540"/>
        <w:jc w:val="both"/>
      </w:pPr>
      <w:r>
        <w:rPr>
          <w:sz w:val="20"/>
        </w:rPr>
        <w:t xml:space="preserve">2.2.3. Осуществляет по согласованию с женщиной в день ее обращения подбор профессии (специальности), исходя из сведений о ее образовании, квалификации и перечня вариантов 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pPr>
        <w:pStyle w:val="0"/>
        <w:spacing w:before="200" w:line-rule="auto"/>
        <w:ind w:firstLine="540"/>
        <w:jc w:val="both"/>
      </w:pPr>
      <w:r>
        <w:rPr>
          <w:sz w:val="20"/>
        </w:rPr>
        <w:t xml:space="preserve">2.2.4. В течение 7 рабочих дней с даты регистрации заявления, предусмотренного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пунктом 1.10</w:t>
        </w:r>
      </w:hyperlink>
      <w:r>
        <w:rPr>
          <w:sz w:val="20"/>
        </w:rPr>
        <w:t xml:space="preserve"> Порядка, осуществляет запрос в порядке межведомственного электронного взаимодействия:</w:t>
      </w:r>
    </w:p>
    <w:p>
      <w:pPr>
        <w:pStyle w:val="0"/>
        <w:spacing w:before="200" w:line-rule="auto"/>
        <w:ind w:firstLine="540"/>
        <w:jc w:val="both"/>
      </w:pPr>
      <w:r>
        <w:rPr>
          <w:sz w:val="20"/>
        </w:rPr>
        <w:t xml:space="preserve">в отделение Фонда пенсионного и социального страхования Российской Федерации по автономному округу сведений о факте получения пенсии (в случае обращения для участия в мероприятии женщины, получающей пенсию по государственному пенсионному обеспечению);</w:t>
      </w:r>
    </w:p>
    <w:p>
      <w:pPr>
        <w:pStyle w:val="0"/>
        <w:jc w:val="both"/>
      </w:pPr>
      <w:r>
        <w:rPr>
          <w:sz w:val="20"/>
        </w:rPr>
        <w:t xml:space="preserve">(в ред. </w:t>
      </w:r>
      <w:hyperlink w:history="0" r:id="rId356"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03.03.2023 N 68-п)</w:t>
      </w:r>
    </w:p>
    <w:p>
      <w:pPr>
        <w:pStyle w:val="0"/>
        <w:spacing w:before="200" w:line-rule="auto"/>
        <w:ind w:firstLine="540"/>
        <w:jc w:val="both"/>
      </w:pPr>
      <w:r>
        <w:rPr>
          <w:sz w:val="20"/>
        </w:rPr>
        <w:t xml:space="preserve">в федеральное учреждение медико-социальной экспертизы - ИПРА (в случае обращения для участия в мероприятии женщины из числа инвалидов).</w:t>
      </w:r>
    </w:p>
    <w:p>
      <w:pPr>
        <w:pStyle w:val="0"/>
        <w:spacing w:before="200" w:line-rule="auto"/>
        <w:ind w:firstLine="540"/>
        <w:jc w:val="both"/>
      </w:pPr>
      <w:r>
        <w:rPr>
          <w:sz w:val="20"/>
        </w:rPr>
        <w:t xml:space="preserve">Женщина вправе по собственной инициативе представить в центр занятости населения ИПРА, выданную федеральным учреждением медико-социальной экспертизы, пенсионное удостоверение либо справку о размере пенсии.</w:t>
      </w:r>
    </w:p>
    <w:p>
      <w:pPr>
        <w:pStyle w:val="0"/>
        <w:spacing w:before="200" w:line-rule="auto"/>
        <w:ind w:firstLine="540"/>
        <w:jc w:val="both"/>
      </w:pPr>
      <w:r>
        <w:rPr>
          <w:sz w:val="20"/>
        </w:rPr>
        <w:t xml:space="preserve">2.2.5. В случае выбора женщиной профессии (специальности), требующей медицинского осмотра, направляет ее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компенсирует ей затраты по прохождению медицинского осмотра путем перечисления средств отдельным платежным поручением с указанием целевого назначения (направления) расходования бюджетных средств на ее лицевой счет в кредитной организации в течение 5 рабочих дней с даты представления оригиналов документов:</w:t>
      </w:r>
    </w:p>
    <w:p>
      <w:pPr>
        <w:pStyle w:val="0"/>
        <w:spacing w:before="200" w:line-rule="auto"/>
        <w:ind w:firstLine="540"/>
        <w:jc w:val="both"/>
      </w:pPr>
      <w:r>
        <w:rPr>
          <w:sz w:val="20"/>
        </w:rPr>
        <w:t xml:space="preserve">договора с медицинским учреждением о прохождении медицинского осмотра;</w:t>
      </w:r>
    </w:p>
    <w:p>
      <w:pPr>
        <w:pStyle w:val="0"/>
        <w:spacing w:before="200" w:line-rule="auto"/>
        <w:ind w:firstLine="540"/>
        <w:jc w:val="both"/>
      </w:pPr>
      <w:r>
        <w:rPr>
          <w:sz w:val="20"/>
        </w:rPr>
        <w:t xml:space="preserve">акта выполненных работ (услуг);</w:t>
      </w:r>
    </w:p>
    <w:p>
      <w:pPr>
        <w:pStyle w:val="0"/>
        <w:spacing w:before="200" w:line-rule="auto"/>
        <w:ind w:firstLine="540"/>
        <w:jc w:val="both"/>
      </w:pPr>
      <w:r>
        <w:rPr>
          <w:sz w:val="20"/>
        </w:rPr>
        <w:t xml:space="preserve">сведения о счете женщины, открытом в кредитной организации;</w:t>
      </w:r>
    </w:p>
    <w:p>
      <w:pPr>
        <w:pStyle w:val="0"/>
        <w:spacing w:before="200" w:line-rule="auto"/>
        <w:ind w:firstLine="540"/>
        <w:jc w:val="both"/>
      </w:pPr>
      <w:r>
        <w:rPr>
          <w:sz w:val="20"/>
        </w:rPr>
        <w:t xml:space="preserve">кассового чека (приходного кассового ордера).</w:t>
      </w:r>
    </w:p>
    <w:p>
      <w:pPr>
        <w:pStyle w:val="0"/>
        <w:spacing w:before="200" w:line-rule="auto"/>
        <w:ind w:firstLine="540"/>
        <w:jc w:val="both"/>
      </w:pPr>
      <w:r>
        <w:rPr>
          <w:sz w:val="20"/>
        </w:rPr>
        <w:t xml:space="preserve">2.2.6. В течение 1 рабочего дня с даты представления женщиной положительного заключения по результатам медицинского осмотра, а также получения сведений, предусмотренных </w:t>
      </w:r>
      <w:hyperlink w:history="0" w:anchor="P3184" w:tooltip="3.2.4. В случае выбора профессии (специальности), требующей медицинского осмотра, направляет незанятого гражданина трудоспособного возраста или инвалида для прохождения профобучения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r>
          <w:rPr>
            <w:sz w:val="20"/>
            <w:color w:val="0000ff"/>
          </w:rPr>
          <w:t xml:space="preserve">подпунктом 3.2.4 пункта 3.2</w:t>
        </w:r>
      </w:hyperlink>
      <w:r>
        <w:rPr>
          <w:sz w:val="20"/>
        </w:rPr>
        <w:t xml:space="preserve"> Порядка, центр занятости населения принимает одно из следующих решений по форме, утвержденной Департаментом:</w:t>
      </w:r>
    </w:p>
    <w:p>
      <w:pPr>
        <w:pStyle w:val="0"/>
        <w:spacing w:before="200" w:line-rule="auto"/>
        <w:ind w:firstLine="540"/>
        <w:jc w:val="both"/>
      </w:pPr>
      <w:r>
        <w:rPr>
          <w:sz w:val="20"/>
        </w:rPr>
        <w:t xml:space="preserve">абзац утратил силу с 14 июля 2023 года. - </w:t>
      </w:r>
      <w:hyperlink w:history="0" r:id="rId357"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14.07.2023 N 331-п;</w:t>
      </w:r>
    </w:p>
    <w:p>
      <w:pPr>
        <w:pStyle w:val="0"/>
        <w:spacing w:before="200" w:line-rule="auto"/>
        <w:ind w:firstLine="540"/>
        <w:jc w:val="both"/>
      </w:pPr>
      <w:r>
        <w:rPr>
          <w:sz w:val="20"/>
        </w:rPr>
        <w:t xml:space="preserve">о направлении женщины на профобучение с установлением размера стоимости ее обучения и о выплате стипендии;</w:t>
      </w:r>
    </w:p>
    <w:p>
      <w:pPr>
        <w:pStyle w:val="0"/>
        <w:jc w:val="both"/>
      </w:pPr>
      <w:r>
        <w:rPr>
          <w:sz w:val="20"/>
        </w:rPr>
        <w:t xml:space="preserve">(в ред. </w:t>
      </w:r>
      <w:hyperlink w:history="0" r:id="rId358"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об отказе в направлении женщины на профобучение по основаниям, предусмотренным </w:t>
      </w:r>
      <w:hyperlink w:history="0" w:anchor="P3143" w:tooltip="2.3. Основаниями для отказа в направлении женщины на профобучение являются:">
        <w:r>
          <w:rPr>
            <w:sz w:val="20"/>
            <w:color w:val="0000ff"/>
          </w:rPr>
          <w:t xml:space="preserve">пунктом 2.3</w:t>
        </w:r>
      </w:hyperlink>
      <w:r>
        <w:rPr>
          <w:sz w:val="20"/>
        </w:rPr>
        <w:t xml:space="preserve"> Порядка.</w:t>
      </w:r>
    </w:p>
    <w:p>
      <w:pPr>
        <w:pStyle w:val="0"/>
        <w:jc w:val="both"/>
      </w:pPr>
      <w:r>
        <w:rPr>
          <w:sz w:val="20"/>
        </w:rPr>
        <w:t xml:space="preserve">(в ред. </w:t>
      </w:r>
      <w:hyperlink w:history="0" r:id="rId35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Решение оформляется на официальном бланке центра занятости населения.</w:t>
      </w:r>
    </w:p>
    <w:p>
      <w:pPr>
        <w:pStyle w:val="0"/>
        <w:spacing w:before="200" w:line-rule="auto"/>
        <w:ind w:firstLine="540"/>
        <w:jc w:val="both"/>
      </w:pPr>
      <w:r>
        <w:rPr>
          <w:sz w:val="20"/>
        </w:rPr>
        <w:t xml:space="preserve">При представлении женщиной отрицательного заключения по результатам медицинского осмотра продолжает осуществлять подбор профессии (специальности).</w:t>
      </w:r>
    </w:p>
    <w:bookmarkStart w:id="3143" w:name="P3143"/>
    <w:bookmarkEnd w:id="3143"/>
    <w:p>
      <w:pPr>
        <w:pStyle w:val="0"/>
        <w:spacing w:before="200" w:line-rule="auto"/>
        <w:ind w:firstLine="540"/>
        <w:jc w:val="both"/>
      </w:pPr>
      <w:r>
        <w:rPr>
          <w:sz w:val="20"/>
        </w:rPr>
        <w:t xml:space="preserve">2.3. Основаниями для отказа в направлении женщины на профобучение являются:</w:t>
      </w:r>
    </w:p>
    <w:p>
      <w:pPr>
        <w:pStyle w:val="0"/>
        <w:spacing w:before="200" w:line-rule="auto"/>
        <w:ind w:firstLine="540"/>
        <w:jc w:val="both"/>
      </w:pPr>
      <w:r>
        <w:rPr>
          <w:sz w:val="20"/>
        </w:rPr>
        <w:t xml:space="preserve">непредставление (непредставление в полном объеме) документов, предусмотренных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пунктами 1.10</w:t>
        </w:r>
      </w:hyperlink>
      <w:r>
        <w:rPr>
          <w:sz w:val="20"/>
        </w:rPr>
        <w:t xml:space="preserve">, </w:t>
      </w:r>
      <w:hyperlink w:history="0" w:anchor="P3119" w:tooltip="2.1. Для участия в мероприятии женщина представляет в центр занятости населения помимо документов, указанных в пункте 1.10 Порядка, свидетельство о рождении (усыновлении) ребенка или документ, подтверждающий опеку (попечительство) над ребенком.">
        <w:r>
          <w:rPr>
            <w:sz w:val="20"/>
            <w:color w:val="0000ff"/>
          </w:rPr>
          <w:t xml:space="preserve">2.1</w:t>
        </w:r>
      </w:hyperlink>
      <w:r>
        <w:rPr>
          <w:sz w:val="20"/>
        </w:rPr>
        <w:t xml:space="preserve"> Порядка, или их несоответствие установленным требованиям;</w:t>
      </w:r>
    </w:p>
    <w:p>
      <w:pPr>
        <w:pStyle w:val="0"/>
        <w:jc w:val="both"/>
      </w:pPr>
      <w:r>
        <w:rPr>
          <w:sz w:val="20"/>
        </w:rPr>
        <w:t xml:space="preserve">(в ред. </w:t>
      </w:r>
      <w:hyperlink w:history="0" r:id="rId360"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установление факта недостоверности информации, представленной в документах;</w:t>
      </w:r>
    </w:p>
    <w:p>
      <w:pPr>
        <w:pStyle w:val="0"/>
        <w:spacing w:before="200" w:line-rule="auto"/>
        <w:ind w:firstLine="540"/>
        <w:jc w:val="both"/>
      </w:pPr>
      <w:r>
        <w:rPr>
          <w:sz w:val="20"/>
        </w:rPr>
        <w:t xml:space="preserve">отрицательное заключение по результатам медицинского осмотра;</w:t>
      </w:r>
    </w:p>
    <w:p>
      <w:pPr>
        <w:pStyle w:val="0"/>
        <w:spacing w:before="200" w:line-rule="auto"/>
        <w:ind w:firstLine="540"/>
        <w:jc w:val="both"/>
      </w:pPr>
      <w:r>
        <w:rPr>
          <w:sz w:val="20"/>
        </w:rPr>
        <w:t xml:space="preserve">повторное обращение для прохождения профобучения в течение 3 лет с момента завершения предыдущего профобучения, полученного в рамках государственной программы.</w:t>
      </w:r>
    </w:p>
    <w:p>
      <w:pPr>
        <w:pStyle w:val="0"/>
        <w:jc w:val="both"/>
      </w:pPr>
      <w:r>
        <w:rPr>
          <w:sz w:val="20"/>
        </w:rPr>
        <w:t xml:space="preserve">(в ред. </w:t>
      </w:r>
      <w:hyperlink w:history="0" r:id="rId36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2.4. В случае отказа в направлении женщины на профобучение центр занятости населения вручает ей лично или направляет уведомление о принятом решении с указанием причины отказа на электронный адрес, указанный в заявлении, в течение 3 рабочих дней со дня принятия указанного решения.</w:t>
      </w:r>
    </w:p>
    <w:bookmarkStart w:id="3151" w:name="P3151"/>
    <w:bookmarkEnd w:id="3151"/>
    <w:p>
      <w:pPr>
        <w:pStyle w:val="0"/>
        <w:spacing w:before="200" w:line-rule="auto"/>
        <w:ind w:firstLine="540"/>
        <w:jc w:val="both"/>
      </w:pPr>
      <w:r>
        <w:rPr>
          <w:sz w:val="20"/>
        </w:rPr>
        <w:t xml:space="preserve">2.5. В случае принятия решения о направлении женщины на профобучение центр занятости населения в течение 1 рабочего дня со дня его принятия вручает непосредственно либо направляет на адрес, указанный в заявлении, женщине с сопроводительным письмом направление на профобучение по форме, утвержденной Департаментом, и проект договора о совместной деятельности по организации профобучения по форме, утвержденной Департаментом (далее - договор).</w:t>
      </w:r>
    </w:p>
    <w:p>
      <w:pPr>
        <w:pStyle w:val="0"/>
        <w:spacing w:before="200" w:line-rule="auto"/>
        <w:ind w:firstLine="540"/>
        <w:jc w:val="both"/>
      </w:pPr>
      <w:r>
        <w:rPr>
          <w:sz w:val="20"/>
        </w:rPr>
        <w:t xml:space="preserve">2.6. Подписанный проект договора, указанный в </w:t>
      </w:r>
      <w:hyperlink w:history="0" w:anchor="P3151" w:tooltip="2.5. В случае принятия решения о направлении женщины на профобучение центр занятости населения в течение 1 рабочего дня со дня его принятия вручает непосредственно либо направляет на адрес, указанный в заявлении, женщине с сопроводительным письмом направление на профобучение по форме, утвержденной Департаментом, и проект договора о совместной деятельности по организации профобучения по форме, утвержденной Департаментом (далее - договор).">
        <w:r>
          <w:rPr>
            <w:sz w:val="20"/>
            <w:color w:val="0000ff"/>
          </w:rPr>
          <w:t xml:space="preserve">пункте 2.5</w:t>
        </w:r>
      </w:hyperlink>
      <w:r>
        <w:rPr>
          <w:sz w:val="20"/>
        </w:rPr>
        <w:t xml:space="preserve"> Порядка, женщина непосредственно или почтовым отправлением направляет в центр занятости населения не позднее 15 календарных дней со дня его получения (в случае почтового отправления днем получения договора считается дата, указанная на штампе почтового отделения по месту нахождения женщины).</w:t>
      </w:r>
    </w:p>
    <w:p>
      <w:pPr>
        <w:pStyle w:val="0"/>
        <w:spacing w:before="200" w:line-rule="auto"/>
        <w:ind w:firstLine="540"/>
        <w:jc w:val="both"/>
      </w:pPr>
      <w:r>
        <w:rPr>
          <w:sz w:val="20"/>
        </w:rPr>
        <w:t xml:space="preserve">2.7. В случае непредставления в центр занятости населения в установленные сроки подписанного проекта договора женщина считается отказавшейся от профобучения.</w:t>
      </w:r>
    </w:p>
    <w:p>
      <w:pPr>
        <w:pStyle w:val="0"/>
        <w:spacing w:before="200" w:line-rule="auto"/>
        <w:ind w:firstLine="540"/>
        <w:jc w:val="both"/>
      </w:pPr>
      <w:r>
        <w:rPr>
          <w:sz w:val="20"/>
        </w:rPr>
        <w:t xml:space="preserve">2.8. В период прохождения профобучения трудоустройство женщины, получение или назначение пенсии по государственному обеспечению не может являться основанием для прекращения профобучения.</w:t>
      </w:r>
    </w:p>
    <w:p>
      <w:pPr>
        <w:pStyle w:val="0"/>
        <w:jc w:val="both"/>
      </w:pPr>
      <w:r>
        <w:rPr>
          <w:sz w:val="20"/>
        </w:rPr>
        <w:t xml:space="preserve">(п. 2.8 в ред. </w:t>
      </w:r>
      <w:hyperlink w:history="0" r:id="rId362"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2.9. Центр занятости населения осуществляет учет женщин, приступивших к должностным обязанностям, трудоустроенных после профобучения, в программно-техническом комплексе "Катарсис".</w:t>
      </w:r>
    </w:p>
    <w:p>
      <w:pPr>
        <w:pStyle w:val="0"/>
        <w:jc w:val="both"/>
      </w:pPr>
      <w:r>
        <w:rPr>
          <w:sz w:val="20"/>
        </w:rPr>
        <w:t xml:space="preserve">(в ред. </w:t>
      </w:r>
      <w:hyperlink w:history="0" r:id="rId363"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2.10. В случаях отсутствия возможности прохождения профобучения по профессии (специальности) в очной, заочной и (или) очно-заочной формах по месту жительства (месту пребывания) женщины, а также ее отказа от дистанционной формы обучения ей предлагается профобучение в другой местности с компенсацией расходов по проезду к месту профобучения и обратно, оплатой найма жилого помещения на время обучения, суточных расходов.</w:t>
      </w:r>
    </w:p>
    <w:p>
      <w:pPr>
        <w:pStyle w:val="0"/>
        <w:jc w:val="both"/>
      </w:pPr>
      <w:r>
        <w:rPr>
          <w:sz w:val="20"/>
        </w:rPr>
        <w:t xml:space="preserve">(в ред. </w:t>
      </w:r>
      <w:hyperlink w:history="0" r:id="rId36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2.11. Средняя стоимость профобучения 1 женщины за курс обучения - не более 20,0 тыс. рублей.</w:t>
      </w:r>
    </w:p>
    <w:p>
      <w:pPr>
        <w:pStyle w:val="0"/>
        <w:jc w:val="both"/>
      </w:pPr>
      <w:r>
        <w:rPr>
          <w:sz w:val="20"/>
        </w:rPr>
      </w:r>
    </w:p>
    <w:p>
      <w:pPr>
        <w:pStyle w:val="2"/>
        <w:outlineLvl w:val="1"/>
        <w:jc w:val="center"/>
      </w:pPr>
      <w:r>
        <w:rPr>
          <w:sz w:val="20"/>
        </w:rPr>
        <w:t xml:space="preserve">Раздел III. ОРГАНИЗАЦИЯ ПРОФОБУЧЕНИЯ НЕЗАНЯТЫХ ГРАЖДАН</w:t>
      </w:r>
    </w:p>
    <w:p>
      <w:pPr>
        <w:pStyle w:val="2"/>
        <w:jc w:val="center"/>
      </w:pPr>
      <w:r>
        <w:rPr>
          <w:sz w:val="20"/>
        </w:rPr>
        <w:t xml:space="preserve">ТРУДОСПОСОБНОГО ВОЗРАСТА И ИНВАЛИДОВ</w:t>
      </w:r>
    </w:p>
    <w:p>
      <w:pPr>
        <w:pStyle w:val="0"/>
        <w:jc w:val="center"/>
      </w:pPr>
      <w:r>
        <w:rPr>
          <w:sz w:val="20"/>
        </w:rPr>
        <w:t xml:space="preserve">(в ред. постановлений Правительства ХМАО - Югры</w:t>
      </w:r>
    </w:p>
    <w:p>
      <w:pPr>
        <w:pStyle w:val="0"/>
        <w:jc w:val="center"/>
      </w:pPr>
      <w:r>
        <w:rPr>
          <w:sz w:val="20"/>
        </w:rPr>
        <w:t xml:space="preserve">от 27.05.2022 </w:t>
      </w:r>
      <w:hyperlink w:history="0" r:id="rId365"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66"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w:t>
      </w:r>
    </w:p>
    <w:p>
      <w:pPr>
        <w:pStyle w:val="0"/>
        <w:jc w:val="center"/>
      </w:pPr>
      <w:r>
        <w:rPr>
          <w:sz w:val="20"/>
        </w:rPr>
        <w:t xml:space="preserve">от 10.02.2023 </w:t>
      </w:r>
      <w:hyperlink w:history="0" r:id="rId367"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jc w:val="both"/>
      </w:pPr>
      <w:r>
        <w:rPr>
          <w:sz w:val="20"/>
        </w:rPr>
      </w:r>
    </w:p>
    <w:bookmarkStart w:id="3168" w:name="P3168"/>
    <w:bookmarkEnd w:id="3168"/>
    <w:p>
      <w:pPr>
        <w:pStyle w:val="0"/>
        <w:ind w:firstLine="540"/>
        <w:jc w:val="both"/>
      </w:pPr>
      <w:r>
        <w:rPr>
          <w:sz w:val="20"/>
        </w:rPr>
        <w:t xml:space="preserve">3.1. Для участия в мероприятии инвалид представляет в центр занятости населения помимо документов, указанных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пункте 1.10</w:t>
        </w:r>
      </w:hyperlink>
      <w:r>
        <w:rPr>
          <w:sz w:val="20"/>
        </w:rPr>
        <w:t xml:space="preserve"> ИПРА, выданную в установленном законодательством Российской Федерации порядке, в случае отсутствия в органах службы занятости автономного округа выписки из нее.</w:t>
      </w:r>
    </w:p>
    <w:p>
      <w:pPr>
        <w:pStyle w:val="0"/>
        <w:jc w:val="both"/>
      </w:pPr>
      <w:r>
        <w:rPr>
          <w:sz w:val="20"/>
        </w:rPr>
        <w:t xml:space="preserve">(в ред. </w:t>
      </w:r>
      <w:hyperlink w:history="0" r:id="rId368"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Незанятый гражданин трудоспособного возраста вправе по собственной инициативе представить в центр занятости населения ИПРА, выданную федеральным учреждением медико-социальной экспертизы, пенсионное удостоверение либо справку о размере пенсии.</w:t>
      </w:r>
    </w:p>
    <w:p>
      <w:pPr>
        <w:pStyle w:val="0"/>
        <w:jc w:val="both"/>
      </w:pPr>
      <w:r>
        <w:rPr>
          <w:sz w:val="20"/>
        </w:rPr>
        <w:t xml:space="preserve">(в ред. постановлений Правительства ХМАО - Югры от 27.05.2022 </w:t>
      </w:r>
      <w:hyperlink w:history="0" r:id="rId369"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70"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71"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3.2. Центр занятости населения:</w:t>
      </w:r>
    </w:p>
    <w:p>
      <w:pPr>
        <w:pStyle w:val="0"/>
        <w:spacing w:before="200" w:line-rule="auto"/>
        <w:ind w:firstLine="540"/>
        <w:jc w:val="both"/>
      </w:pPr>
      <w:r>
        <w:rPr>
          <w:sz w:val="20"/>
        </w:rPr>
        <w:t xml:space="preserve">3.2.1. Регистрирует заявление незанятого гражданина трудоспособного возраста или инвалида с приложением документов, указанных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пунктах 1.10</w:t>
        </w:r>
      </w:hyperlink>
      <w:r>
        <w:rPr>
          <w:sz w:val="20"/>
        </w:rPr>
        <w:t xml:space="preserve"> и </w:t>
      </w:r>
      <w:hyperlink w:history="0" w:anchor="P3168" w:tooltip="3.1. Для участия в мероприятии инвалид представляет в центр занятости населения помимо документов, указанных в пункте 1.10 ИПРА, выданную в установленном законодательством Российской Федерации порядке, в случае отсутствия в органах службы занятости автономного округа выписки из нее.">
        <w:r>
          <w:rPr>
            <w:sz w:val="20"/>
            <w:color w:val="0000ff"/>
          </w:rPr>
          <w:t xml:space="preserve">3.1</w:t>
        </w:r>
      </w:hyperlink>
      <w:r>
        <w:rPr>
          <w:sz w:val="20"/>
        </w:rPr>
        <w:t xml:space="preserve"> Порядка, в день их поступления:</w:t>
      </w:r>
    </w:p>
    <w:p>
      <w:pPr>
        <w:pStyle w:val="0"/>
        <w:jc w:val="both"/>
      </w:pPr>
      <w:r>
        <w:rPr>
          <w:sz w:val="20"/>
        </w:rPr>
        <w:t xml:space="preserve">(в ред. постановлений Правительства ХМАО - Югры от 27.05.2022 </w:t>
      </w:r>
      <w:hyperlink w:history="0" r:id="rId372"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73"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74"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для незанятых граждан трудоспособного возраста - в журнале регистрации;</w:t>
      </w:r>
    </w:p>
    <w:p>
      <w:pPr>
        <w:pStyle w:val="0"/>
        <w:jc w:val="both"/>
      </w:pPr>
      <w:r>
        <w:rPr>
          <w:sz w:val="20"/>
        </w:rPr>
        <w:t xml:space="preserve">(в ред. постановлений Правительства ХМАО - Югры от 23.12.2022 </w:t>
      </w:r>
      <w:hyperlink w:history="0" r:id="rId375"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76"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для инвалидов - в программно-техническом комплексе "Катарсис".</w:t>
      </w:r>
    </w:p>
    <w:p>
      <w:pPr>
        <w:pStyle w:val="0"/>
        <w:jc w:val="both"/>
      </w:pPr>
      <w:r>
        <w:rPr>
          <w:sz w:val="20"/>
        </w:rPr>
        <w:t xml:space="preserve">(в ред. </w:t>
      </w:r>
      <w:hyperlink w:history="0" r:id="rId377"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3.2.2. Снимает сканированные копии с оригиналов документов, указанных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пунктах 1.10</w:t>
        </w:r>
      </w:hyperlink>
      <w:r>
        <w:rPr>
          <w:sz w:val="20"/>
        </w:rPr>
        <w:t xml:space="preserve"> и </w:t>
      </w:r>
      <w:hyperlink w:history="0" w:anchor="P3168" w:tooltip="3.1. Для участия в мероприятии инвалид представляет в центр занятости населения помимо документов, указанных в пункте 1.10 ИПРА, выданную в установленном законодательством Российской Федерации порядке, в случае отсутствия в органах службы занятости автономного округа выписки из нее.">
        <w:r>
          <w:rPr>
            <w:sz w:val="20"/>
            <w:color w:val="0000ff"/>
          </w:rPr>
          <w:t xml:space="preserve">3.1</w:t>
        </w:r>
      </w:hyperlink>
      <w:r>
        <w:rPr>
          <w:sz w:val="20"/>
        </w:rPr>
        <w:t xml:space="preserve"> Порядка (в день их поступления), заверяет их в установленном порядке, после чего оригиналы возвращает, обеспечивает вложение и хранение сканированных копий документов в электронном личном деле получателя государственных услуг в сфере занятости населения - для инвалида, в личном деле участника мероприятия - для незанятого гражданина трудоспособного возраста.</w:t>
      </w:r>
    </w:p>
    <w:p>
      <w:pPr>
        <w:pStyle w:val="0"/>
        <w:jc w:val="both"/>
      </w:pPr>
      <w:r>
        <w:rPr>
          <w:sz w:val="20"/>
        </w:rPr>
        <w:t xml:space="preserve">(в ред. </w:t>
      </w:r>
      <w:hyperlink w:history="0" r:id="rId378" w:tooltip="Постановление Правительства ХМАО - Югры от 14.07.2023 N 331-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14.07.2023 N 331-п)</w:t>
      </w:r>
    </w:p>
    <w:p>
      <w:pPr>
        <w:pStyle w:val="0"/>
        <w:spacing w:before="200" w:line-rule="auto"/>
        <w:ind w:firstLine="540"/>
        <w:jc w:val="both"/>
      </w:pPr>
      <w:r>
        <w:rPr>
          <w:sz w:val="20"/>
        </w:rPr>
        <w:t xml:space="preserve">Абзац утратил силу с 10 февраля 2023 года. - </w:t>
      </w:r>
      <w:hyperlink w:history="0" r:id="rId379"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Постановление</w:t>
        </w:r>
      </w:hyperlink>
      <w:r>
        <w:rPr>
          <w:sz w:val="20"/>
        </w:rPr>
        <w:t xml:space="preserve"> Правительства ХМАО - Югры от 10.02.2023 N 51-п.</w:t>
      </w:r>
    </w:p>
    <w:p>
      <w:pPr>
        <w:pStyle w:val="0"/>
        <w:spacing w:before="200" w:line-rule="auto"/>
        <w:ind w:firstLine="540"/>
        <w:jc w:val="both"/>
      </w:pPr>
      <w:r>
        <w:rPr>
          <w:sz w:val="20"/>
        </w:rPr>
        <w:t xml:space="preserve">3.2.3. Осуществляет по согласованию с незанятым гражданином трудоспособного возраста или инвалидом в день его обращения подбор профессии (специальности), исходя из сведений об образовании, квалификации и перечня вариантов профобучения, рекомендаций ИПРА,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pPr>
        <w:pStyle w:val="0"/>
        <w:jc w:val="both"/>
      </w:pPr>
      <w:r>
        <w:rPr>
          <w:sz w:val="20"/>
        </w:rPr>
        <w:t xml:space="preserve">(в ред. постановлений Правительства ХМАО - Югры от 27.05.2022 </w:t>
      </w:r>
      <w:hyperlink w:history="0" r:id="rId380"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81"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82"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bookmarkStart w:id="3184" w:name="P3184"/>
    <w:bookmarkEnd w:id="3184"/>
    <w:p>
      <w:pPr>
        <w:pStyle w:val="0"/>
        <w:spacing w:before="200" w:line-rule="auto"/>
        <w:ind w:firstLine="540"/>
        <w:jc w:val="both"/>
      </w:pPr>
      <w:r>
        <w:rPr>
          <w:sz w:val="20"/>
        </w:rPr>
        <w:t xml:space="preserve">3.2.4. В случае выбора профессии (специальности), требующей медицинского осмотра, направляет незанятого гражданина трудоспособного возраста или инвалида для прохождения профобучения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постановлений Правительства ХМАО - Югры от 27.05.2022 </w:t>
      </w:r>
      <w:hyperlink w:history="0" r:id="rId383"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84"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85"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3.2.5. В случае получения незанятым гражданином трудоспособного возраста или инвалидом отрицательного заключения по результатам медицинского осмотра продолжает подбор иной профессии (специальности) для профобучения.</w:t>
      </w:r>
    </w:p>
    <w:p>
      <w:pPr>
        <w:pStyle w:val="0"/>
        <w:jc w:val="both"/>
      </w:pPr>
      <w:r>
        <w:rPr>
          <w:sz w:val="20"/>
        </w:rPr>
        <w:t xml:space="preserve">(в ред. постановлений Правительства ХМАО - Югры от 27.05.2022 </w:t>
      </w:r>
      <w:hyperlink w:history="0" r:id="rId386"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87"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88"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При представлении незанятым гражданином трудоспособного возраста или инвалидом положительного заключения по результатам медицинского осмотра выдает ему направление на профобучение по утвержденной Департаментом форме.</w:t>
      </w:r>
    </w:p>
    <w:p>
      <w:pPr>
        <w:pStyle w:val="0"/>
        <w:jc w:val="both"/>
      </w:pPr>
      <w:r>
        <w:rPr>
          <w:sz w:val="20"/>
        </w:rPr>
        <w:t xml:space="preserve">(в ред. постановлений Правительства ХМАО - Югры от 27.05.2022 </w:t>
      </w:r>
      <w:hyperlink w:history="0" r:id="rId389"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90"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91"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3.2.6. В течение 1 рабочего дня после представления незанятым гражданином трудоспособного возраста или инвалидом положительного заключения по результатам медицинского осмотра центр занятости населения принимает одно из решений по форме, утвержденной Департаментом:</w:t>
      </w:r>
    </w:p>
    <w:p>
      <w:pPr>
        <w:pStyle w:val="0"/>
        <w:jc w:val="both"/>
      </w:pPr>
      <w:r>
        <w:rPr>
          <w:sz w:val="20"/>
        </w:rPr>
        <w:t xml:space="preserve">(в ред. постановлений Правительства ХМАО - Югры от 27.05.2022 </w:t>
      </w:r>
      <w:hyperlink w:history="0" r:id="rId392"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93"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94"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о направлении незанятого гражданина трудоспособного возраста или инвалида на профобучение с установлением размера стоимости его обучения и о выплате стипендии;</w:t>
      </w:r>
    </w:p>
    <w:p>
      <w:pPr>
        <w:pStyle w:val="0"/>
        <w:jc w:val="both"/>
      </w:pPr>
      <w:r>
        <w:rPr>
          <w:sz w:val="20"/>
        </w:rPr>
        <w:t xml:space="preserve">(в ред. постановлений Правительства ХМАО - Югры от 27.05.2022 </w:t>
      </w:r>
      <w:hyperlink w:history="0" r:id="rId395"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96"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397"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об отказе в направлении незанятого гражданина трудоспособного возраста или инвалида для прохождения профобучения по основаниям, предусмотренным </w:t>
      </w:r>
      <w:hyperlink w:history="0" w:anchor="P3205" w:tooltip="3.5. Основанием для отказа в обучении является:">
        <w:r>
          <w:rPr>
            <w:sz w:val="20"/>
            <w:color w:val="0000ff"/>
          </w:rPr>
          <w:t xml:space="preserve">пунктом 3.5</w:t>
        </w:r>
      </w:hyperlink>
      <w:r>
        <w:rPr>
          <w:sz w:val="20"/>
        </w:rPr>
        <w:t xml:space="preserve"> Порядка.</w:t>
      </w:r>
    </w:p>
    <w:p>
      <w:pPr>
        <w:pStyle w:val="0"/>
        <w:jc w:val="both"/>
      </w:pPr>
      <w:r>
        <w:rPr>
          <w:sz w:val="20"/>
        </w:rPr>
        <w:t xml:space="preserve">(в ред. постановлений Правительства ХМАО - Югры от 27.05.2022 </w:t>
      </w:r>
      <w:hyperlink w:history="0" r:id="rId398"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399"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00"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Решение оформляется на официальном бланке центра занятости населения.</w:t>
      </w:r>
    </w:p>
    <w:p>
      <w:pPr>
        <w:pStyle w:val="0"/>
        <w:spacing w:before="200" w:line-rule="auto"/>
        <w:ind w:firstLine="540"/>
        <w:jc w:val="both"/>
      </w:pPr>
      <w:r>
        <w:rPr>
          <w:sz w:val="20"/>
        </w:rPr>
        <w:t xml:space="preserve">3.3. Прохождение обучения незанятого гражданина трудоспособного возраста или инвалида в случаях, когда профобучение невозможно организовать по месту жительства, профобучение может быть организовано в другой местности, в том числе за пределами автономного округа.</w:t>
      </w:r>
    </w:p>
    <w:p>
      <w:pPr>
        <w:pStyle w:val="0"/>
        <w:jc w:val="both"/>
      </w:pPr>
      <w:r>
        <w:rPr>
          <w:sz w:val="20"/>
        </w:rPr>
        <w:t xml:space="preserve">(в ред. постановлений Правительства ХМАО - Югры от 27.05.2022 </w:t>
      </w:r>
      <w:hyperlink w:history="0" r:id="rId401"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02"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03"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Направление для прохождения профобучения в другую местность осуществляется только с письменного согласия незанятого гражданина трудоспособного возраста или инвалида.</w:t>
      </w:r>
    </w:p>
    <w:p>
      <w:pPr>
        <w:pStyle w:val="0"/>
        <w:jc w:val="both"/>
      </w:pPr>
      <w:r>
        <w:rPr>
          <w:sz w:val="20"/>
        </w:rPr>
        <w:t xml:space="preserve">(в ред. постановлений Правительства ХМАО - Югры от 27.05.2022 </w:t>
      </w:r>
      <w:hyperlink w:history="0" r:id="rId404"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05"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06"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3.4. Направление незанятого гражданина трудоспособного возраста или инвалида для прохождения профобучения, в том числе с целью открытия собственного дела, осуществляется на основе заключенного между гражданином и центром занятости населения двухстороннего договора. Форму договора утверждает Департамент.</w:t>
      </w:r>
    </w:p>
    <w:p>
      <w:pPr>
        <w:pStyle w:val="0"/>
        <w:jc w:val="both"/>
      </w:pPr>
      <w:r>
        <w:rPr>
          <w:sz w:val="20"/>
        </w:rPr>
        <w:t xml:space="preserve">(в ред. постановлений Правительства ХМАО - Югры от 27.05.2022 </w:t>
      </w:r>
      <w:hyperlink w:history="0" r:id="rId407"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08"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09"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В случае направления на профобучение под конкретное рабочее место, предоставляемое работодателем, между незанятым гражданином трудоспособного возраста или инвалидом, центром занятости населения и работодателем заключается трехсторонний договор, форму которого утверждает Департамент.</w:t>
      </w:r>
    </w:p>
    <w:p>
      <w:pPr>
        <w:pStyle w:val="0"/>
        <w:jc w:val="both"/>
      </w:pPr>
      <w:r>
        <w:rPr>
          <w:sz w:val="20"/>
        </w:rPr>
        <w:t xml:space="preserve">(в ред. постановлений Правительства ХМАО - Югры от 27.05.2022 </w:t>
      </w:r>
      <w:hyperlink w:history="0" r:id="rId410"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11"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12"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bookmarkStart w:id="3205" w:name="P3205"/>
    <w:bookmarkEnd w:id="3205"/>
    <w:p>
      <w:pPr>
        <w:pStyle w:val="0"/>
        <w:spacing w:before="200" w:line-rule="auto"/>
        <w:ind w:firstLine="540"/>
        <w:jc w:val="both"/>
      </w:pPr>
      <w:r>
        <w:rPr>
          <w:sz w:val="20"/>
        </w:rPr>
        <w:t xml:space="preserve">3.5. Основанием для отказа в обучении является:</w:t>
      </w:r>
    </w:p>
    <w:p>
      <w:pPr>
        <w:pStyle w:val="0"/>
        <w:spacing w:before="200" w:line-rule="auto"/>
        <w:ind w:firstLine="540"/>
        <w:jc w:val="both"/>
      </w:pPr>
      <w:r>
        <w:rPr>
          <w:sz w:val="20"/>
        </w:rPr>
        <w:t xml:space="preserve">непредставление документов, предусмотренных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пунктами 1.10</w:t>
        </w:r>
      </w:hyperlink>
      <w:r>
        <w:rPr>
          <w:sz w:val="20"/>
        </w:rPr>
        <w:t xml:space="preserve">, </w:t>
      </w:r>
      <w:hyperlink w:history="0" w:anchor="P3168" w:tooltip="3.1. Для участия в мероприятии инвалид представляет в центр занятости населения помимо документов, указанных в пункте 1.10 ИПРА, выданную в установленном законодательством Российской Федерации порядке, в случае отсутствия в органах службы занятости автономного округа выписки из нее.">
        <w:r>
          <w:rPr>
            <w:sz w:val="20"/>
            <w:color w:val="0000ff"/>
          </w:rPr>
          <w:t xml:space="preserve">3.1</w:t>
        </w:r>
      </w:hyperlink>
      <w:r>
        <w:rPr>
          <w:sz w:val="20"/>
        </w:rPr>
        <w:t xml:space="preserve"> Порядка;</w:t>
      </w:r>
    </w:p>
    <w:p>
      <w:pPr>
        <w:pStyle w:val="0"/>
        <w:jc w:val="both"/>
      </w:pPr>
      <w:r>
        <w:rPr>
          <w:sz w:val="20"/>
        </w:rPr>
        <w:t xml:space="preserve">(в ред. </w:t>
      </w:r>
      <w:hyperlink w:history="0" r:id="rId413"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23.12.2022 N 698-п)</w:t>
      </w:r>
    </w:p>
    <w:p>
      <w:pPr>
        <w:pStyle w:val="0"/>
        <w:spacing w:before="200" w:line-rule="auto"/>
        <w:ind w:firstLine="540"/>
        <w:jc w:val="both"/>
      </w:pPr>
      <w:r>
        <w:rPr>
          <w:sz w:val="20"/>
        </w:rPr>
        <w:t xml:space="preserve">представление недостоверных и (или) искаженных сведений и документов, предусмотренных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пунктами 1.10</w:t>
        </w:r>
      </w:hyperlink>
      <w:r>
        <w:rPr>
          <w:sz w:val="20"/>
        </w:rPr>
        <w:t xml:space="preserve">, </w:t>
      </w:r>
      <w:hyperlink w:history="0" w:anchor="P3168" w:tooltip="3.1. Для участия в мероприятии инвалид представляет в центр занятости населения помимо документов, указанных в пункте 1.10 ИПРА, выданную в установленном законодательством Российской Федерации порядке, в случае отсутствия в органах службы занятости автономного округа выписки из нее.">
        <w:r>
          <w:rPr>
            <w:sz w:val="20"/>
            <w:color w:val="0000ff"/>
          </w:rPr>
          <w:t xml:space="preserve">3.1</w:t>
        </w:r>
      </w:hyperlink>
      <w:r>
        <w:rPr>
          <w:sz w:val="20"/>
        </w:rPr>
        <w:t xml:space="preserve"> Порядка;</w:t>
      </w:r>
    </w:p>
    <w:p>
      <w:pPr>
        <w:pStyle w:val="0"/>
        <w:jc w:val="both"/>
      </w:pPr>
      <w:r>
        <w:rPr>
          <w:sz w:val="20"/>
        </w:rPr>
        <w:t xml:space="preserve">(в ред. </w:t>
      </w:r>
      <w:hyperlink w:history="0" r:id="rId414"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23.12.2022 N 698-п)</w:t>
      </w:r>
    </w:p>
    <w:p>
      <w:pPr>
        <w:pStyle w:val="0"/>
        <w:spacing w:before="200" w:line-rule="auto"/>
        <w:ind w:firstLine="540"/>
        <w:jc w:val="both"/>
      </w:pPr>
      <w:r>
        <w:rPr>
          <w:sz w:val="20"/>
        </w:rPr>
        <w:t xml:space="preserve">абзац утратил силу с 10 февраля 2023 года. - </w:t>
      </w:r>
      <w:hyperlink w:history="0" r:id="rId415"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Постановление</w:t>
        </w:r>
      </w:hyperlink>
      <w:r>
        <w:rPr>
          <w:sz w:val="20"/>
        </w:rPr>
        <w:t xml:space="preserve"> Правительства ХМАО - Югры от 10.02.2023 N 51-п;</w:t>
      </w:r>
    </w:p>
    <w:p>
      <w:pPr>
        <w:pStyle w:val="0"/>
        <w:spacing w:before="200" w:line-rule="auto"/>
        <w:ind w:firstLine="540"/>
        <w:jc w:val="both"/>
      </w:pPr>
      <w:r>
        <w:rPr>
          <w:sz w:val="20"/>
        </w:rPr>
        <w:t xml:space="preserve">при получении отрицательного заключения по результатам медицинского осмотра.</w:t>
      </w:r>
    </w:p>
    <w:p>
      <w:pPr>
        <w:pStyle w:val="0"/>
        <w:spacing w:before="200" w:line-rule="auto"/>
        <w:ind w:firstLine="540"/>
        <w:jc w:val="both"/>
      </w:pPr>
      <w:r>
        <w:rPr>
          <w:sz w:val="20"/>
        </w:rPr>
        <w:t xml:space="preserve">3.6. Решение об отказе в профобучении принимает центр занятости населения в день установления оснований, указанных в </w:t>
      </w:r>
      <w:hyperlink w:history="0" w:anchor="P3205" w:tooltip="3.5. Основанием для отказа в обучении является:">
        <w:r>
          <w:rPr>
            <w:sz w:val="20"/>
            <w:color w:val="0000ff"/>
          </w:rPr>
          <w:t xml:space="preserve">пункте 3.5</w:t>
        </w:r>
      </w:hyperlink>
      <w:r>
        <w:rPr>
          <w:sz w:val="20"/>
        </w:rPr>
        <w:t xml:space="preserve"> Порядка, оформляет согласно форме, утвержденной Департаментом, и выдает гражданину под подпись.</w:t>
      </w:r>
    </w:p>
    <w:p>
      <w:pPr>
        <w:pStyle w:val="0"/>
        <w:spacing w:before="200" w:line-rule="auto"/>
        <w:ind w:firstLine="540"/>
        <w:jc w:val="both"/>
      </w:pPr>
      <w:r>
        <w:rPr>
          <w:sz w:val="20"/>
        </w:rPr>
        <w:t xml:space="preserve">Процедура оформления решения об отказе в профобучении осуществляется в течение 15 минут.</w:t>
      </w:r>
    </w:p>
    <w:p>
      <w:pPr>
        <w:pStyle w:val="0"/>
        <w:spacing w:before="200" w:line-rule="auto"/>
        <w:ind w:firstLine="540"/>
        <w:jc w:val="both"/>
      </w:pPr>
      <w:r>
        <w:rPr>
          <w:sz w:val="20"/>
        </w:rPr>
        <w:t xml:space="preserve">3.7. Подбор направления обучения осуществляется с учетом образования, профессионального опыта и состояния здоровья (на основании ИПРА - для граждан с инвалидностью) по профессиям (специальностям), овладение которыми предоставит незанятому гражданину трудоспособного возраста или инвалиду для прохождения обучения наибольшую возможность дальнейшего трудоустройства по профессиям, востребованным на рынке труда.</w:t>
      </w:r>
    </w:p>
    <w:p>
      <w:pPr>
        <w:pStyle w:val="0"/>
        <w:jc w:val="both"/>
      </w:pPr>
      <w:r>
        <w:rPr>
          <w:sz w:val="20"/>
        </w:rPr>
        <w:t xml:space="preserve">(в ред. постановлений Правительства ХМАО - Югры от 27.05.2022 </w:t>
      </w:r>
      <w:hyperlink w:history="0" r:id="rId416"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17"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18"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Профобучение незанятых граждан трудоспособного возраста или инвалидов также может осуществляться по профессиям (специальностям) для конкретных рабочих мест, предоставляемых работодателями согласно заключенным с ними центрами занятости населения в установленном порядке договорам, либо для организации в дальнейшем собственного дела.</w:t>
      </w:r>
    </w:p>
    <w:p>
      <w:pPr>
        <w:pStyle w:val="0"/>
        <w:jc w:val="both"/>
      </w:pPr>
      <w:r>
        <w:rPr>
          <w:sz w:val="20"/>
        </w:rPr>
        <w:t xml:space="preserve">(в ред. постановлений Правительства ХМАО - Югры от 27.05.2022 </w:t>
      </w:r>
      <w:hyperlink w:history="0" r:id="rId419"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20"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21"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3.8. Незанятому гражданину трудоспособного возраста или инвалиду не может быть предложено профобучение по одной и той же профессии (специальности) дважды.</w:t>
      </w:r>
    </w:p>
    <w:p>
      <w:pPr>
        <w:pStyle w:val="0"/>
        <w:jc w:val="both"/>
      </w:pPr>
      <w:r>
        <w:rPr>
          <w:sz w:val="20"/>
        </w:rPr>
        <w:t xml:space="preserve">(в ред. постановлений Правительства ХМАО - Югры от 27.05.2022 </w:t>
      </w:r>
      <w:hyperlink w:history="0" r:id="rId422"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23"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24"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3.9. Профобучение незанятых граждан трудоспособного возраста или инвалидов осуществляется: в случае наличия инвалидности - не более 1 раза в год, в иных случаях - не более 1 раза в 3 года.</w:t>
      </w:r>
    </w:p>
    <w:p>
      <w:pPr>
        <w:pStyle w:val="0"/>
        <w:jc w:val="both"/>
      </w:pPr>
      <w:r>
        <w:rPr>
          <w:sz w:val="20"/>
        </w:rPr>
        <w:t xml:space="preserve">(в ред. постановлений Правительства ХМАО - Югры от 27.05.2022 </w:t>
      </w:r>
      <w:hyperlink w:history="0" r:id="rId425"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23.12.2022 </w:t>
      </w:r>
      <w:hyperlink w:history="0" r:id="rId426" w:tooltip="Постановление Правительства ХМАО - Югры от 23.12.2022 N 6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698-п</w:t>
        </w:r>
      </w:hyperlink>
      <w:r>
        <w:rPr>
          <w:sz w:val="20"/>
        </w:rPr>
        <w:t xml:space="preserve">, от 10.02.2023 </w:t>
      </w:r>
      <w:hyperlink w:history="0" r:id="rId427" w:tooltip="Постановление Правительства ХМАО - Югры от 10.02.2023 N 51-п (ред. от 03.11.2023) &quot;О едином перечне прав, льгот, социальных гарантий и компенсаций в Ханты-Мансийском автономном округе - Югре гражданам, принимающим участие в специальной военной операции, и членам их семей&quot; (вместе с &quot;Порядком предоставления в Ханты-Мансийском автономном округе - Югре денежных выплат, компенсаций гражданам, принимающим участие в специальной военной операции на территориях Украины, Донецкой Народной Республики, Луганской Народ {КонсультантПлюс}">
        <w:r>
          <w:rPr>
            <w:sz w:val="20"/>
            <w:color w:val="0000ff"/>
          </w:rPr>
          <w:t xml:space="preserve">N 51-п</w:t>
        </w:r>
      </w:hyperlink>
      <w:r>
        <w:rPr>
          <w:sz w:val="20"/>
        </w:rPr>
        <w:t xml:space="preserve">)</w:t>
      </w:r>
    </w:p>
    <w:p>
      <w:pPr>
        <w:pStyle w:val="0"/>
        <w:spacing w:before="200" w:line-rule="auto"/>
        <w:ind w:firstLine="540"/>
        <w:jc w:val="both"/>
      </w:pPr>
      <w:r>
        <w:rPr>
          <w:sz w:val="20"/>
        </w:rPr>
        <w:t xml:space="preserve">3.10. Учебно-производственная база и методическое обеспечение обучения:</w:t>
      </w:r>
    </w:p>
    <w:p>
      <w:pPr>
        <w:pStyle w:val="0"/>
        <w:jc w:val="both"/>
      </w:pPr>
      <w:r>
        <w:rPr>
          <w:sz w:val="20"/>
        </w:rPr>
        <w:t xml:space="preserve">(в ред. </w:t>
      </w:r>
      <w:hyperlink w:history="0" r:id="rId428"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3.10.1. Учитывается наличие в организациях, осуществляющих образовательную деятельность, на учебно-производственной базе которых осуществляется обучение:</w:t>
      </w:r>
    </w:p>
    <w:p>
      <w:pPr>
        <w:pStyle w:val="0"/>
        <w:spacing w:before="200" w:line-rule="auto"/>
        <w:ind w:firstLine="540"/>
        <w:jc w:val="both"/>
      </w:pPr>
      <w:r>
        <w:rPr>
          <w:sz w:val="20"/>
        </w:rPr>
        <w:t xml:space="preserve">адаптированных образовательных программ и методов обучения,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услуг ассистента (помощника), оказывающего обучающимся необходимую техническую помощь, услуг по переводу русского жестового языка (сурдопереводу, тифлосурдопереводу), групповых и индивидуальных коррекционных занятий (при наличии у гражданина соответствующего вида заболевания и группы инвалидности);</w:t>
      </w:r>
    </w:p>
    <w:p>
      <w:pPr>
        <w:pStyle w:val="0"/>
        <w:spacing w:before="200" w:line-rule="auto"/>
        <w:ind w:firstLine="540"/>
        <w:jc w:val="both"/>
      </w:pPr>
      <w:r>
        <w:rPr>
          <w:sz w:val="20"/>
        </w:rPr>
        <w:t xml:space="preserve">беспрепятственного доступа в здания и другие условия, без которых невозможно или затруднено освоение образовательных программ гражданами.</w:t>
      </w:r>
    </w:p>
    <w:p>
      <w:pPr>
        <w:pStyle w:val="0"/>
        <w:spacing w:before="200" w:line-rule="auto"/>
        <w:ind w:firstLine="540"/>
        <w:jc w:val="both"/>
      </w:pPr>
      <w:r>
        <w:rPr>
          <w:sz w:val="20"/>
        </w:rPr>
        <w:t xml:space="preserve">3.10.2. Методическое обеспечение (учебно-программная документация, технологии и методики обучения, методические пособия, рекомендации и др.) обучения граждан организует организация, осуществляющая образовательную деятельность.</w:t>
      </w:r>
    </w:p>
    <w:p>
      <w:pPr>
        <w:pStyle w:val="0"/>
        <w:jc w:val="both"/>
      </w:pPr>
      <w:r>
        <w:rPr>
          <w:sz w:val="20"/>
        </w:rPr>
      </w:r>
    </w:p>
    <w:p>
      <w:pPr>
        <w:pStyle w:val="2"/>
        <w:outlineLvl w:val="1"/>
        <w:jc w:val="center"/>
      </w:pPr>
      <w:r>
        <w:rPr>
          <w:sz w:val="20"/>
        </w:rPr>
        <w:t xml:space="preserve">Раздел IV. ОРГАНИЗАЦИЯ ПРОФОБУЧЕНИЯ ГРАЖДАН, ГРАЖДАН,</w:t>
      </w:r>
    </w:p>
    <w:p>
      <w:pPr>
        <w:pStyle w:val="2"/>
        <w:jc w:val="center"/>
      </w:pPr>
      <w:r>
        <w:rPr>
          <w:sz w:val="20"/>
        </w:rPr>
        <w:t xml:space="preserve">ВЫНУЖДЕННО ПОКИНУВШИХ ТЕРРИТОРИЮ УКРАИНЫ</w:t>
      </w:r>
    </w:p>
    <w:p>
      <w:pPr>
        <w:pStyle w:val="0"/>
        <w:jc w:val="center"/>
      </w:pPr>
      <w:r>
        <w:rPr>
          <w:sz w:val="20"/>
        </w:rPr>
        <w:t xml:space="preserve">(в ред. </w:t>
      </w:r>
      <w:hyperlink w:history="0" r:id="rId429"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27.05.2022 N 228-п)</w:t>
      </w:r>
    </w:p>
    <w:p>
      <w:pPr>
        <w:pStyle w:val="0"/>
        <w:jc w:val="both"/>
      </w:pPr>
      <w:r>
        <w:rPr>
          <w:sz w:val="20"/>
        </w:rPr>
      </w:r>
    </w:p>
    <w:bookmarkStart w:id="3234" w:name="P3234"/>
    <w:bookmarkEnd w:id="3234"/>
    <w:p>
      <w:pPr>
        <w:pStyle w:val="0"/>
        <w:ind w:firstLine="540"/>
        <w:jc w:val="both"/>
      </w:pPr>
      <w:r>
        <w:rPr>
          <w:sz w:val="20"/>
        </w:rPr>
        <w:t xml:space="preserve">4.1. Для участия в мероприятии гражданин, гражданин, вынужденно покинувший территорию Украины, представляет в центр занятости населения документы, указанные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пункте 1.10</w:t>
        </w:r>
      </w:hyperlink>
      <w:r>
        <w:rPr>
          <w:sz w:val="20"/>
        </w:rPr>
        <w:t xml:space="preserve"> Порядка, а также:</w:t>
      </w:r>
    </w:p>
    <w:p>
      <w:pPr>
        <w:pStyle w:val="0"/>
        <w:jc w:val="both"/>
      </w:pPr>
      <w:r>
        <w:rPr>
          <w:sz w:val="20"/>
        </w:rPr>
        <w:t xml:space="preserve">(в ред. постановлений Правительства ХМАО - Югры от 27.05.2022 </w:t>
      </w:r>
      <w:hyperlink w:history="0" r:id="rId430"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14.10.2022 </w:t>
      </w:r>
      <w:hyperlink w:history="0" r:id="rId431"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rPr>
        <w:t xml:space="preserve">)</w:t>
      </w:r>
    </w:p>
    <w:p>
      <w:pPr>
        <w:pStyle w:val="0"/>
        <w:spacing w:before="200" w:line-rule="auto"/>
        <w:ind w:firstLine="540"/>
        <w:jc w:val="both"/>
      </w:pPr>
      <w:r>
        <w:rPr>
          <w:sz w:val="20"/>
        </w:rPr>
        <w:t xml:space="preserve">4.1.1. Гражданин - пенсионное удостоверение (при наличии);</w:t>
      </w:r>
    </w:p>
    <w:p>
      <w:pPr>
        <w:pStyle w:val="0"/>
        <w:jc w:val="both"/>
      </w:pPr>
      <w:r>
        <w:rPr>
          <w:sz w:val="20"/>
        </w:rPr>
        <w:t xml:space="preserve">(пп. 4.1.1 введен </w:t>
      </w:r>
      <w:hyperlink w:history="0" r:id="rId432"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4.1.2. Гражданин, вынужденно покинувший территорию Украины, - документы, подтверждающие прохождение обязательной государственной дактилоскопической регистрации, фотографирования, медицинского освидетельствования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и заболевания, вызываемого вирусом иммунодефицита человека (ВИЧ-инфекции).</w:t>
      </w:r>
    </w:p>
    <w:p>
      <w:pPr>
        <w:pStyle w:val="0"/>
        <w:jc w:val="both"/>
      </w:pPr>
      <w:r>
        <w:rPr>
          <w:sz w:val="20"/>
        </w:rPr>
        <w:t xml:space="preserve">(пп. 4.1.2 введен </w:t>
      </w:r>
      <w:hyperlink w:history="0" r:id="rId433"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4.2. Центр занятости населения:</w:t>
      </w:r>
    </w:p>
    <w:p>
      <w:pPr>
        <w:pStyle w:val="0"/>
        <w:spacing w:before="200" w:line-rule="auto"/>
        <w:ind w:firstLine="540"/>
        <w:jc w:val="both"/>
      </w:pPr>
      <w:r>
        <w:rPr>
          <w:sz w:val="20"/>
        </w:rPr>
        <w:t xml:space="preserve">4.2.1. Регистрирует заявление с приложением документов, указанных в </w:t>
      </w:r>
      <w:hyperlink w:history="0" w:anchor="P3234" w:tooltip="4.1. Для участия в мероприятии гражданин, гражданин, вынужденно покинувший территорию Украины, представляет в центр занятости населения документы, указанные в пункте 1.10 Порядка, а также:">
        <w:r>
          <w:rPr>
            <w:sz w:val="20"/>
            <w:color w:val="0000ff"/>
          </w:rPr>
          <w:t xml:space="preserve">пункте 4.1</w:t>
        </w:r>
      </w:hyperlink>
      <w:r>
        <w:rPr>
          <w:sz w:val="20"/>
        </w:rPr>
        <w:t xml:space="preserve"> Порядка, в день его поступления:</w:t>
      </w:r>
    </w:p>
    <w:p>
      <w:pPr>
        <w:pStyle w:val="0"/>
        <w:spacing w:before="200" w:line-rule="auto"/>
        <w:ind w:firstLine="540"/>
        <w:jc w:val="both"/>
      </w:pPr>
      <w:r>
        <w:rPr>
          <w:sz w:val="20"/>
        </w:rPr>
        <w:t xml:space="preserve">в программно-техническом комплексе "Катарсис" - для гражданина;</w:t>
      </w:r>
    </w:p>
    <w:p>
      <w:pPr>
        <w:pStyle w:val="0"/>
        <w:spacing w:before="200" w:line-rule="auto"/>
        <w:ind w:firstLine="540"/>
        <w:jc w:val="both"/>
      </w:pPr>
      <w:r>
        <w:rPr>
          <w:sz w:val="20"/>
        </w:rPr>
        <w:t xml:space="preserve">в журнале регистрации - для гражданина, вынужденно покинувшего территорию Украины.</w:t>
      </w:r>
    </w:p>
    <w:p>
      <w:pPr>
        <w:pStyle w:val="0"/>
        <w:jc w:val="both"/>
      </w:pPr>
      <w:r>
        <w:rPr>
          <w:sz w:val="20"/>
        </w:rPr>
        <w:t xml:space="preserve">(пп. 4.2.1 в ред. </w:t>
      </w:r>
      <w:hyperlink w:history="0" r:id="rId434"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4.2.2. Снимает сканированные копии с оригиналов документов, указанных в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пунктах 1.10</w:t>
        </w:r>
      </w:hyperlink>
      <w:r>
        <w:rPr>
          <w:sz w:val="20"/>
        </w:rPr>
        <w:t xml:space="preserve">, </w:t>
      </w:r>
      <w:hyperlink w:history="0" w:anchor="P3234" w:tooltip="4.1. Для участия в мероприятии гражданин, гражданин, вынужденно покинувший территорию Украины, представляет в центр занятости населения документы, указанные в пункте 1.10 Порядка, а также:">
        <w:r>
          <w:rPr>
            <w:sz w:val="20"/>
            <w:color w:val="0000ff"/>
          </w:rPr>
          <w:t xml:space="preserve">4.1</w:t>
        </w:r>
      </w:hyperlink>
      <w:r>
        <w:rPr>
          <w:sz w:val="20"/>
        </w:rPr>
        <w:t xml:space="preserve"> Порядка (в день их поступления), заверяет их в установленном порядке, после чего оригиналы возвращает, обеспечивает вложение и хранение сканированных копий документов в электронном личном деле получателя государственных услуг в сфере занятости населения - для гражданина, в личном деле участника мероприятия - для гражданина, вынужденно покинувшего территорию Украины.</w:t>
      </w:r>
    </w:p>
    <w:p>
      <w:pPr>
        <w:pStyle w:val="0"/>
        <w:jc w:val="both"/>
      </w:pPr>
      <w:r>
        <w:rPr>
          <w:sz w:val="20"/>
        </w:rPr>
        <w:t xml:space="preserve">(в ред. постановлений Правительства ХМАО - Югры от 27.05.2022 </w:t>
      </w:r>
      <w:hyperlink w:history="0" r:id="rId435"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228-п</w:t>
        </w:r>
      </w:hyperlink>
      <w:r>
        <w:rPr>
          <w:sz w:val="20"/>
        </w:rPr>
        <w:t xml:space="preserve">, от 14.10.2022 </w:t>
      </w:r>
      <w:hyperlink w:history="0" r:id="rId436"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rPr>
        <w:t xml:space="preserve">)</w:t>
      </w:r>
    </w:p>
    <w:bookmarkStart w:id="3247" w:name="P3247"/>
    <w:bookmarkEnd w:id="3247"/>
    <w:p>
      <w:pPr>
        <w:pStyle w:val="0"/>
        <w:spacing w:before="200" w:line-rule="auto"/>
        <w:ind w:firstLine="540"/>
        <w:jc w:val="both"/>
      </w:pPr>
      <w:r>
        <w:rPr>
          <w:sz w:val="20"/>
        </w:rPr>
        <w:t xml:space="preserve">4.2.3. В течение 7 рабочих дней со дня получения и регистрации документов, предусмотренных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пунктами 1.10</w:t>
        </w:r>
      </w:hyperlink>
      <w:r>
        <w:rPr>
          <w:sz w:val="20"/>
        </w:rPr>
        <w:t xml:space="preserve">, </w:t>
      </w:r>
      <w:hyperlink w:history="0" w:anchor="P3234" w:tooltip="4.1. Для участия в мероприятии гражданин, гражданин, вынужденно покинувший территорию Украины, представляет в центр занятости населения документы, указанные в пункте 1.10 Порядка, а также:">
        <w:r>
          <w:rPr>
            <w:sz w:val="20"/>
            <w:color w:val="0000ff"/>
          </w:rPr>
          <w:t xml:space="preserve">4.1</w:t>
        </w:r>
      </w:hyperlink>
      <w:r>
        <w:rPr>
          <w:sz w:val="20"/>
        </w:rPr>
        <w:t xml:space="preserve"> Порядка, осуществляет запрос в порядке межведомственного взаимодействия в соответствии с законодательством Российской Федерации:</w:t>
      </w:r>
    </w:p>
    <w:p>
      <w:pPr>
        <w:pStyle w:val="0"/>
        <w:jc w:val="both"/>
      </w:pPr>
      <w:r>
        <w:rPr>
          <w:sz w:val="20"/>
        </w:rPr>
        <w:t xml:space="preserve">(в ред. </w:t>
      </w:r>
      <w:hyperlink w:history="0" r:id="rId437"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в отделение Фонда пенсионного и социального страхования Российской Федерации по автономному округу об отнесении гражданина к категории лиц предпенсионного или пенсионного возраста, а также сведения о факте получения пенсии гражданином (для граждан, получающих пенсию по государственному пенсионному обеспечению);</w:t>
      </w:r>
    </w:p>
    <w:p>
      <w:pPr>
        <w:pStyle w:val="0"/>
        <w:jc w:val="both"/>
      </w:pPr>
      <w:r>
        <w:rPr>
          <w:sz w:val="20"/>
        </w:rPr>
        <w:t xml:space="preserve">(в ред. </w:t>
      </w:r>
      <w:hyperlink w:history="0" r:id="rId438"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03.03.2023 N 68-п)</w:t>
      </w:r>
    </w:p>
    <w:p>
      <w:pPr>
        <w:pStyle w:val="0"/>
        <w:spacing w:before="200" w:line-rule="auto"/>
        <w:ind w:firstLine="540"/>
        <w:jc w:val="both"/>
      </w:pPr>
      <w:r>
        <w:rPr>
          <w:sz w:val="20"/>
        </w:rPr>
        <w:t xml:space="preserve">в федеральное учреждение медико-социальной экспертизы о предоставлении сведений об ИПРА в целях подбора профессии (специальности), обучения с учетом комплекса реабилитационных мероприятий (в случае обращения для участия в мероприятии гражданина из числа инвалидов).</w:t>
      </w:r>
    </w:p>
    <w:p>
      <w:pPr>
        <w:pStyle w:val="0"/>
        <w:spacing w:before="200" w:line-rule="auto"/>
        <w:ind w:firstLine="540"/>
        <w:jc w:val="both"/>
      </w:pPr>
      <w:r>
        <w:rPr>
          <w:sz w:val="20"/>
        </w:rPr>
        <w:t xml:space="preserve">Гражданин, гражданин, вынужденно покинувший территорию Украины, вправе по собственной инициативе представить в центр занятости населения ИПРА и сведения об отнесении к категории лиц предпенсионного или пенсионного возраста.</w:t>
      </w:r>
    </w:p>
    <w:p>
      <w:pPr>
        <w:pStyle w:val="0"/>
        <w:jc w:val="both"/>
      </w:pPr>
      <w:r>
        <w:rPr>
          <w:sz w:val="20"/>
        </w:rPr>
        <w:t xml:space="preserve">(в ред. </w:t>
      </w:r>
      <w:hyperlink w:history="0" r:id="rId439"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4.2.4. Осуществляет по согласованию с гражданином, гражданином, вынужденно покинувшим территорию Украины,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(специальностей), востребованных на рынке труда автономного округа, и перечня соответствующих организаций, осуществляющих образовательную деятельность, для прохождения профобучения.</w:t>
      </w:r>
    </w:p>
    <w:p>
      <w:pPr>
        <w:pStyle w:val="0"/>
        <w:jc w:val="both"/>
      </w:pPr>
      <w:r>
        <w:rPr>
          <w:sz w:val="20"/>
        </w:rPr>
        <w:t xml:space="preserve">(в ред. </w:t>
      </w:r>
      <w:hyperlink w:history="0" r:id="rId440"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4.2.5. В случае выбора гражданином, гражданином, вынужденно покинувшим территорию Украины, профессии (специальности), требующей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компенсирует ему затраты по прохождению медицинского осмотра путем перечисления средств на его счет в кредитной организации в течение 5 рабочих дней после представления следующих документов:</w:t>
      </w:r>
    </w:p>
    <w:p>
      <w:pPr>
        <w:pStyle w:val="0"/>
        <w:jc w:val="both"/>
      </w:pPr>
      <w:r>
        <w:rPr>
          <w:sz w:val="20"/>
        </w:rPr>
        <w:t xml:space="preserve">(в ред. </w:t>
      </w:r>
      <w:hyperlink w:history="0" r:id="rId441"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договора с медицинским учреждением о прохождении медицинского осмотра;</w:t>
      </w:r>
    </w:p>
    <w:p>
      <w:pPr>
        <w:pStyle w:val="0"/>
        <w:spacing w:before="200" w:line-rule="auto"/>
        <w:ind w:firstLine="540"/>
        <w:jc w:val="both"/>
      </w:pPr>
      <w:r>
        <w:rPr>
          <w:sz w:val="20"/>
        </w:rPr>
        <w:t xml:space="preserve">акта выполненных работ (услуг);</w:t>
      </w:r>
    </w:p>
    <w:p>
      <w:pPr>
        <w:pStyle w:val="0"/>
        <w:spacing w:before="200" w:line-rule="auto"/>
        <w:ind w:firstLine="540"/>
        <w:jc w:val="both"/>
      </w:pPr>
      <w:r>
        <w:rPr>
          <w:sz w:val="20"/>
        </w:rPr>
        <w:t xml:space="preserve">кассового чека (приходного кассового ордера).</w:t>
      </w:r>
    </w:p>
    <w:p>
      <w:pPr>
        <w:pStyle w:val="0"/>
        <w:spacing w:before="200" w:line-rule="auto"/>
        <w:ind w:firstLine="540"/>
        <w:jc w:val="both"/>
      </w:pPr>
      <w:r>
        <w:rPr>
          <w:sz w:val="20"/>
        </w:rPr>
        <w:t xml:space="preserve">4.2.6. В случае получения отрицательного заключения по результатам медицинского осмотра продолжает подбор иной профессии (специальности) для профобучения.</w:t>
      </w:r>
    </w:p>
    <w:p>
      <w:pPr>
        <w:pStyle w:val="0"/>
        <w:spacing w:before="200" w:line-rule="auto"/>
        <w:ind w:firstLine="540"/>
        <w:jc w:val="both"/>
      </w:pPr>
      <w:r>
        <w:rPr>
          <w:sz w:val="20"/>
        </w:rPr>
        <w:t xml:space="preserve">При представлении гражданином, гражданином, вынужденно покинувшим территорию Украины, положительного заключения по результатам медицинского осмотра выдает ему направление на профобучение.</w:t>
      </w:r>
    </w:p>
    <w:p>
      <w:pPr>
        <w:pStyle w:val="0"/>
        <w:jc w:val="both"/>
      </w:pPr>
      <w:r>
        <w:rPr>
          <w:sz w:val="20"/>
        </w:rPr>
        <w:t xml:space="preserve">(в ред. </w:t>
      </w:r>
      <w:hyperlink w:history="0" r:id="rId442"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4.2.7. Осуществляет учет трудоустроенных после профобучения:</w:t>
      </w:r>
    </w:p>
    <w:p>
      <w:pPr>
        <w:pStyle w:val="0"/>
        <w:spacing w:before="200" w:line-rule="auto"/>
        <w:ind w:firstLine="540"/>
        <w:jc w:val="both"/>
      </w:pPr>
      <w:r>
        <w:rPr>
          <w:sz w:val="20"/>
        </w:rPr>
        <w:t xml:space="preserve">граждан - в программно-техническом комплексе "Катарсис";</w:t>
      </w:r>
    </w:p>
    <w:p>
      <w:pPr>
        <w:pStyle w:val="0"/>
        <w:spacing w:before="200" w:line-rule="auto"/>
        <w:ind w:firstLine="540"/>
        <w:jc w:val="both"/>
      </w:pPr>
      <w:r>
        <w:rPr>
          <w:sz w:val="20"/>
        </w:rPr>
        <w:t xml:space="preserve">граждан, вынужденно покинувших территорию Украины, - в журнале регистрации.</w:t>
      </w:r>
    </w:p>
    <w:p>
      <w:pPr>
        <w:pStyle w:val="0"/>
        <w:jc w:val="both"/>
      </w:pPr>
      <w:r>
        <w:rPr>
          <w:sz w:val="20"/>
        </w:rPr>
        <w:t xml:space="preserve">(пп. 4.2.7 в ред. </w:t>
      </w:r>
      <w:hyperlink w:history="0" r:id="rId443"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4.3. В течение 1 рабочего дня после получения сведений, указанных в </w:t>
      </w:r>
      <w:hyperlink w:history="0" w:anchor="P3247" w:tooltip="4.2.3. В течение 7 рабочих дней со дня получения и регистрации документов, предусмотренных пунктами 1.10, 4.1 Порядка, осуществляет запрос в порядке межведомственного взаимодействия в соответствии с законодательством Российской Федерации:">
        <w:r>
          <w:rPr>
            <w:sz w:val="20"/>
            <w:color w:val="0000ff"/>
          </w:rPr>
          <w:t xml:space="preserve">подпункте 4.2.3 пункта 4.2</w:t>
        </w:r>
      </w:hyperlink>
      <w:r>
        <w:rPr>
          <w:sz w:val="20"/>
        </w:rPr>
        <w:t xml:space="preserve"> Порядка, и представления гражданином, гражданином, вынужденно покинувшим территорию Украины, положительного заключения по результатам медицинского осмотра центр занятости населения принимает одно из решений по форме, утвержденной Департаментом:</w:t>
      </w:r>
    </w:p>
    <w:p>
      <w:pPr>
        <w:pStyle w:val="0"/>
        <w:jc w:val="both"/>
      </w:pPr>
      <w:r>
        <w:rPr>
          <w:sz w:val="20"/>
        </w:rPr>
        <w:t xml:space="preserve">(в ред. </w:t>
      </w:r>
      <w:hyperlink w:history="0" r:id="rId444"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о направлении на профобучение с установлением размера суммы средств на оплату стоимости его профессионального обучения;</w:t>
      </w:r>
    </w:p>
    <w:p>
      <w:pPr>
        <w:pStyle w:val="0"/>
        <w:jc w:val="both"/>
      </w:pPr>
      <w:r>
        <w:rPr>
          <w:sz w:val="20"/>
        </w:rPr>
        <w:t xml:space="preserve">(в ред. </w:t>
      </w:r>
      <w:hyperlink w:history="0" r:id="rId445"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об отказе в направлении на профобучение по основаниям, предусмотренным </w:t>
      </w:r>
      <w:hyperlink w:history="0" w:anchor="P3275" w:tooltip="4.4. Основаниями для отказа гражданину, гражданину, вынужденно покинувшему территорию Украины, в профобучении являются:">
        <w:r>
          <w:rPr>
            <w:sz w:val="20"/>
            <w:color w:val="0000ff"/>
          </w:rPr>
          <w:t xml:space="preserve">4.4</w:t>
        </w:r>
      </w:hyperlink>
      <w:r>
        <w:rPr>
          <w:sz w:val="20"/>
        </w:rPr>
        <w:t xml:space="preserve"> Порядка.</w:t>
      </w:r>
    </w:p>
    <w:p>
      <w:pPr>
        <w:pStyle w:val="0"/>
        <w:jc w:val="both"/>
      </w:pPr>
      <w:r>
        <w:rPr>
          <w:sz w:val="20"/>
        </w:rPr>
        <w:t xml:space="preserve">(в ред. </w:t>
      </w:r>
      <w:hyperlink w:history="0" r:id="rId446"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Решение оформляется на официальном бланке центра занятости населения.</w:t>
      </w:r>
    </w:p>
    <w:bookmarkStart w:id="3275" w:name="P3275"/>
    <w:bookmarkEnd w:id="3275"/>
    <w:p>
      <w:pPr>
        <w:pStyle w:val="0"/>
        <w:spacing w:before="200" w:line-rule="auto"/>
        <w:ind w:firstLine="540"/>
        <w:jc w:val="both"/>
      </w:pPr>
      <w:r>
        <w:rPr>
          <w:sz w:val="20"/>
        </w:rPr>
        <w:t xml:space="preserve">4.4. Основаниями для отказа гражданину, гражданину, вынужденно покинувшему территорию Украины, в профобучении являются:</w:t>
      </w:r>
    </w:p>
    <w:p>
      <w:pPr>
        <w:pStyle w:val="0"/>
        <w:jc w:val="both"/>
      </w:pPr>
      <w:r>
        <w:rPr>
          <w:sz w:val="20"/>
        </w:rPr>
        <w:t xml:space="preserve">(в ред. </w:t>
      </w:r>
      <w:hyperlink w:history="0" r:id="rId447"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непредставление документов, предусмотренных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пунктами 1.10</w:t>
        </w:r>
      </w:hyperlink>
      <w:r>
        <w:rPr>
          <w:sz w:val="20"/>
        </w:rPr>
        <w:t xml:space="preserve">, </w:t>
      </w:r>
      <w:hyperlink w:history="0" w:anchor="P3234" w:tooltip="4.1. Для участия в мероприятии гражданин, гражданин, вынужденно покинувший территорию Украины, представляет в центр занятости населения документы, указанные в пункте 1.10 Порядка, а также:">
        <w:r>
          <w:rPr>
            <w:sz w:val="20"/>
            <w:color w:val="0000ff"/>
          </w:rPr>
          <w:t xml:space="preserve">4.1</w:t>
        </w:r>
      </w:hyperlink>
      <w:r>
        <w:rPr>
          <w:sz w:val="20"/>
        </w:rPr>
        <w:t xml:space="preserve"> Порядка;</w:t>
      </w:r>
    </w:p>
    <w:p>
      <w:pPr>
        <w:pStyle w:val="0"/>
        <w:jc w:val="both"/>
      </w:pPr>
      <w:r>
        <w:rPr>
          <w:sz w:val="20"/>
        </w:rPr>
        <w:t xml:space="preserve">(в ред. </w:t>
      </w:r>
      <w:hyperlink w:history="0" r:id="rId448"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представление недостоверных, не в полном объеме сведений и документов, предусмотренных </w:t>
      </w:r>
      <w:hyperlink w:history="0" w:anchor="P3083" w:tooltip="1.10. Для участия в мероприятии его участники представляют в центр занятости населения следующие документы:">
        <w:r>
          <w:rPr>
            <w:sz w:val="20"/>
            <w:color w:val="0000ff"/>
          </w:rPr>
          <w:t xml:space="preserve">пунктами 1.10</w:t>
        </w:r>
      </w:hyperlink>
      <w:r>
        <w:rPr>
          <w:sz w:val="20"/>
        </w:rPr>
        <w:t xml:space="preserve">, </w:t>
      </w:r>
      <w:hyperlink w:history="0" w:anchor="P3234" w:tooltip="4.1. Для участия в мероприятии гражданин, гражданин, вынужденно покинувший территорию Украины, представляет в центр занятости населения документы, указанные в пункте 1.10 Порядка, а также:">
        <w:r>
          <w:rPr>
            <w:sz w:val="20"/>
            <w:color w:val="0000ff"/>
          </w:rPr>
          <w:t xml:space="preserve">4.1</w:t>
        </w:r>
      </w:hyperlink>
      <w:r>
        <w:rPr>
          <w:sz w:val="20"/>
        </w:rPr>
        <w:t xml:space="preserve"> Порядка;</w:t>
      </w:r>
    </w:p>
    <w:p>
      <w:pPr>
        <w:pStyle w:val="0"/>
        <w:jc w:val="both"/>
      </w:pPr>
      <w:r>
        <w:rPr>
          <w:sz w:val="20"/>
        </w:rPr>
        <w:t xml:space="preserve">(в ред. </w:t>
      </w:r>
      <w:hyperlink w:history="0" r:id="rId44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несоответствие гражданина требованиям, предусмотренным </w:t>
      </w:r>
      <w:hyperlink w:history="0" w:anchor="P3041" w:tooltip="гражданин - незанятый гражданин Российской Федерации, зарегистрированный в установленном законодательством Российской Федерации порядке по месту жительства или по месту пребывания на территории автономного округа, ищущий работу и готовый приступить к ней из числа лиц:">
        <w:r>
          <w:rPr>
            <w:sz w:val="20"/>
            <w:color w:val="0000ff"/>
          </w:rPr>
          <w:t xml:space="preserve">абзацами с седьмого</w:t>
        </w:r>
      </w:hyperlink>
      <w:r>
        <w:rPr>
          <w:sz w:val="20"/>
        </w:rPr>
        <w:t xml:space="preserve"> по </w:t>
      </w:r>
      <w:hyperlink w:history="0" w:anchor="P3045" w:tooltip="которым в соответствии с законодательством Российской Федерации досрочно назначена страховая пенсия по старости и (или) пенсия за выслугу лет;">
        <w:r>
          <w:rPr>
            <w:sz w:val="20"/>
            <w:color w:val="0000ff"/>
          </w:rPr>
          <w:t xml:space="preserve">десятый пункта 1.3</w:t>
        </w:r>
      </w:hyperlink>
      <w:r>
        <w:rPr>
          <w:sz w:val="20"/>
        </w:rPr>
        <w:t xml:space="preserve"> Порядка;</w:t>
      </w:r>
    </w:p>
    <w:p>
      <w:pPr>
        <w:pStyle w:val="0"/>
        <w:jc w:val="both"/>
      </w:pPr>
      <w:r>
        <w:rPr>
          <w:sz w:val="20"/>
        </w:rPr>
        <w:t xml:space="preserve">(в ред. </w:t>
      </w:r>
      <w:hyperlink w:history="0" r:id="rId450"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несоответствие гражданина, вынужденно покинувшего территорию Украины, требованиям, предусмотренным </w:t>
      </w:r>
      <w:hyperlink w:history="0" w:anchor="P3047" w:tooltip="граждане, вынужденно покинувшие территорию Украины, - зарегистрированные по месту пребывания на территории автономного округа незанятые граждане Украины, граждане Донецкой Народной Республики, граждане Луганской Народной Республики и лица без гражданства, постоянно проживающие на территориях Украины, Донецкой Народной Республики, Луганской Народной Республики, вынужденно покинувшие начиная с 18 февраля 2022 года территорию Украины, Донецкой Народной Республики, Луганской Народной Республики и прибывшие н...">
        <w:r>
          <w:rPr>
            <w:sz w:val="20"/>
            <w:color w:val="0000ff"/>
          </w:rPr>
          <w:t xml:space="preserve">абзацем одиннадцатым пункта 1.3</w:t>
        </w:r>
      </w:hyperlink>
      <w:r>
        <w:rPr>
          <w:sz w:val="20"/>
        </w:rPr>
        <w:t xml:space="preserve"> Порядка;</w:t>
      </w:r>
    </w:p>
    <w:p>
      <w:pPr>
        <w:pStyle w:val="0"/>
        <w:jc w:val="both"/>
      </w:pPr>
      <w:r>
        <w:rPr>
          <w:sz w:val="20"/>
        </w:rPr>
        <w:t xml:space="preserve">(абзац введен </w:t>
      </w:r>
      <w:hyperlink w:history="0" r:id="rId451"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27.05.2022 N 228-п)</w:t>
      </w:r>
    </w:p>
    <w:p>
      <w:pPr>
        <w:pStyle w:val="0"/>
        <w:spacing w:before="200" w:line-rule="auto"/>
        <w:ind w:firstLine="540"/>
        <w:jc w:val="both"/>
      </w:pPr>
      <w:r>
        <w:rPr>
          <w:sz w:val="20"/>
        </w:rPr>
        <w:t xml:space="preserve">отрицательное заключение по результатам медицинского осмотра.</w:t>
      </w:r>
    </w:p>
    <w:p>
      <w:pPr>
        <w:pStyle w:val="0"/>
        <w:spacing w:before="200" w:line-rule="auto"/>
        <w:ind w:firstLine="540"/>
        <w:jc w:val="both"/>
      </w:pPr>
      <w:r>
        <w:rPr>
          <w:sz w:val="20"/>
        </w:rPr>
        <w:t xml:space="preserve">4.5. Решение об отказе гражданину, гражданину, вынужденно покинувшему территорию Украины, в профобучении центр занятости населения вручает лично под подпись или направляет уведомление о принятом решении нарочным или заказным почтовым отправлением с уведомлением о вручении либо на электронный адрес, указанный в заявлении, в течение 3 рабочих дней со дня его принятия.</w:t>
      </w:r>
    </w:p>
    <w:p>
      <w:pPr>
        <w:pStyle w:val="0"/>
        <w:jc w:val="both"/>
      </w:pPr>
      <w:r>
        <w:rPr>
          <w:sz w:val="20"/>
        </w:rPr>
        <w:t xml:space="preserve">(в ред. </w:t>
      </w:r>
      <w:hyperlink w:history="0" r:id="rId452"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bookmarkStart w:id="3288" w:name="P3288"/>
    <w:bookmarkEnd w:id="3288"/>
    <w:p>
      <w:pPr>
        <w:pStyle w:val="0"/>
        <w:spacing w:before="200" w:line-rule="auto"/>
        <w:ind w:firstLine="540"/>
        <w:jc w:val="both"/>
      </w:pPr>
      <w:r>
        <w:rPr>
          <w:sz w:val="20"/>
        </w:rPr>
        <w:t xml:space="preserve">4.6. В случае принятия решения о направлении гражданина, гражданина, вынужденно покинувшего территорию Украины, на профобучение центр занятости населения в течение 1 рабочего дня со дня принятия указанного решения направляет гражданину, гражданину, вынужденно покинувшему территорию Украины, сопроводительным письмом договор о совместной деятельности по организации профобучения.</w:t>
      </w:r>
    </w:p>
    <w:p>
      <w:pPr>
        <w:pStyle w:val="0"/>
        <w:jc w:val="both"/>
      </w:pPr>
      <w:r>
        <w:rPr>
          <w:sz w:val="20"/>
        </w:rPr>
        <w:t xml:space="preserve">(в ред. </w:t>
      </w:r>
      <w:hyperlink w:history="0" r:id="rId453"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Форму договора разрабатывает и утверждает Департамент.</w:t>
      </w:r>
    </w:p>
    <w:p>
      <w:pPr>
        <w:pStyle w:val="0"/>
        <w:spacing w:before="200" w:line-rule="auto"/>
        <w:ind w:firstLine="540"/>
        <w:jc w:val="both"/>
      </w:pPr>
      <w:r>
        <w:rPr>
          <w:sz w:val="20"/>
        </w:rPr>
        <w:t xml:space="preserve">4.7. Подписанный договор, указанный в </w:t>
      </w:r>
      <w:hyperlink w:history="0" w:anchor="P3288" w:tooltip="4.6. В случае принятия решения о направлении гражданина, гражданина, вынужденно покинувшего территорию Украины, на профобучение центр занятости населения в течение 1 рабочего дня со дня принятия указанного решения направляет гражданину, гражданину, вынужденно покинувшему территорию Украины, сопроводительным письмом договор о совместной деятельности по организации профобучения.">
        <w:r>
          <w:rPr>
            <w:sz w:val="20"/>
            <w:color w:val="0000ff"/>
          </w:rPr>
          <w:t xml:space="preserve">пункте 4.6</w:t>
        </w:r>
      </w:hyperlink>
      <w:r>
        <w:rPr>
          <w:sz w:val="20"/>
        </w:rPr>
        <w:t xml:space="preserve"> Порядка, гражданин, гражданин, вынужденно покинувший территорию Украины, направляет в центр занятости населения не позднее 15 календарных дней со дня его получения (в случае почтового отправления днем получения договора считается дата, указанная на штампе почтового отделения по месту нахождения гражданина, гражданина, вынужденно покинувшего территорию Украины).</w:t>
      </w:r>
    </w:p>
    <w:p>
      <w:pPr>
        <w:pStyle w:val="0"/>
        <w:jc w:val="both"/>
      </w:pPr>
      <w:r>
        <w:rPr>
          <w:sz w:val="20"/>
        </w:rPr>
        <w:t xml:space="preserve">(п. 4.7 в ред. </w:t>
      </w:r>
      <w:hyperlink w:history="0" r:id="rId454"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4.8. В случае непредставления в установленные сроки подписанного договора гражданин, гражданин, вынужденно покинувший территорию Украины, считается отказавшимся от профобучения.</w:t>
      </w:r>
    </w:p>
    <w:p>
      <w:pPr>
        <w:pStyle w:val="0"/>
        <w:jc w:val="both"/>
      </w:pPr>
      <w:r>
        <w:rPr>
          <w:sz w:val="20"/>
        </w:rPr>
        <w:t xml:space="preserve">(в ред. </w:t>
      </w:r>
      <w:hyperlink w:history="0" r:id="rId455"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4.9. Средняя стоимость профобучения 1 гражданина, гражданина, вынужденно покинувшего территорию Украины, за курс обучения не более 20,0 тыс. рублей.</w:t>
      </w:r>
    </w:p>
    <w:p>
      <w:pPr>
        <w:pStyle w:val="0"/>
        <w:jc w:val="both"/>
      </w:pPr>
      <w:r>
        <w:rPr>
          <w:sz w:val="20"/>
        </w:rPr>
        <w:t xml:space="preserve">(в ред. </w:t>
      </w:r>
      <w:hyperlink w:history="0" r:id="rId456"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4.10. Профобучение граждан, вынужденно покинувших территорию Украины, осуществляется 1 раз в период действия настоящей государственной программы, для граждан - не более 1 раза в течение 3 лет.</w:t>
      </w:r>
    </w:p>
    <w:p>
      <w:pPr>
        <w:pStyle w:val="0"/>
        <w:jc w:val="both"/>
      </w:pPr>
      <w:r>
        <w:rPr>
          <w:sz w:val="20"/>
        </w:rPr>
        <w:t xml:space="preserve">(п. 4.10 введен </w:t>
      </w:r>
      <w:hyperlink w:history="0" r:id="rId457"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27.05.2022 N 228-п)</w:t>
      </w:r>
    </w:p>
    <w:p>
      <w:pPr>
        <w:pStyle w:val="0"/>
        <w:jc w:val="both"/>
      </w:pPr>
      <w:r>
        <w:rPr>
          <w:sz w:val="20"/>
        </w:rPr>
      </w:r>
    </w:p>
    <w:p>
      <w:pPr>
        <w:pStyle w:val="2"/>
        <w:outlineLvl w:val="1"/>
        <w:jc w:val="center"/>
      </w:pPr>
      <w:r>
        <w:rPr>
          <w:sz w:val="20"/>
        </w:rPr>
        <w:t xml:space="preserve">Раздел V. ПРЕДОСТАВЛЕНИЕ БЮДЖЕТНЫХ СРЕДСТВ</w:t>
      </w:r>
    </w:p>
    <w:p>
      <w:pPr>
        <w:pStyle w:val="0"/>
        <w:jc w:val="both"/>
      </w:pPr>
      <w:r>
        <w:rPr>
          <w:sz w:val="20"/>
        </w:rPr>
      </w:r>
    </w:p>
    <w:p>
      <w:pPr>
        <w:pStyle w:val="0"/>
        <w:ind w:firstLine="540"/>
        <w:jc w:val="both"/>
      </w:pPr>
      <w:r>
        <w:rPr>
          <w:sz w:val="20"/>
        </w:rPr>
        <w:t xml:space="preserve">5.1. Финансовые средства на профобучение центр занятости населения перечисляет организации, осуществляющей образовательную деятельность и заключившей государственный контракт (договор) с центрами занятости населения на оказание образовательных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5.2. В случае прохождения профобучения участниками мероприятия в другой местности центр занятости населения компенсирует расходы по проезду к месту профобучения и обратно, суточные расходы, оплату найма жилого помещения на время обучения (далее - организационные расходы).</w:t>
      </w:r>
    </w:p>
    <w:p>
      <w:pPr>
        <w:pStyle w:val="0"/>
        <w:jc w:val="both"/>
      </w:pPr>
      <w:r>
        <w:rPr>
          <w:sz w:val="20"/>
        </w:rPr>
        <w:t xml:space="preserve">(в ред. </w:t>
      </w:r>
      <w:hyperlink w:history="0" r:id="rId458"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5.3. Компенсацию организационных расходов центр занятости населения осуществляет в следующих размерах:</w:t>
      </w:r>
    </w:p>
    <w:p>
      <w:pPr>
        <w:pStyle w:val="0"/>
        <w:spacing w:before="200" w:line-rule="auto"/>
        <w:ind w:firstLine="540"/>
        <w:jc w:val="both"/>
      </w:pPr>
      <w:r>
        <w:rPr>
          <w:sz w:val="20"/>
        </w:rPr>
        <w:t xml:space="preserve">5.3.1. Оплата стоимости проезда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pPr>
        <w:pStyle w:val="0"/>
        <w:spacing w:before="200" w:line-rule="auto"/>
        <w:ind w:firstLine="540"/>
        <w:jc w:val="both"/>
      </w:pPr>
      <w:r>
        <w:rPr>
          <w:sz w:val="20"/>
        </w:rPr>
        <w:t xml:space="preserve">железнодорожным транспортом - в плацкартном вагоне пассажирского поезда;</w:t>
      </w:r>
    </w:p>
    <w:p>
      <w:pPr>
        <w:pStyle w:val="0"/>
        <w:spacing w:before="200" w:line-rule="auto"/>
        <w:ind w:firstLine="540"/>
        <w:jc w:val="both"/>
      </w:pPr>
      <w:r>
        <w:rPr>
          <w:sz w:val="20"/>
        </w:rPr>
        <w:t xml:space="preserve">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pPr>
        <w:pStyle w:val="0"/>
        <w:spacing w:before="200" w:line-rule="auto"/>
        <w:ind w:firstLine="540"/>
        <w:jc w:val="both"/>
      </w:pPr>
      <w:r>
        <w:rPr>
          <w:sz w:val="20"/>
        </w:rPr>
        <w:t xml:space="preserve">воздушным транспортом - в салоне экономического класса;</w:t>
      </w:r>
    </w:p>
    <w:p>
      <w:pPr>
        <w:pStyle w:val="0"/>
        <w:spacing w:before="200" w:line-rule="auto"/>
        <w:ind w:firstLine="540"/>
        <w:jc w:val="both"/>
      </w:pPr>
      <w:r>
        <w:rPr>
          <w:sz w:val="20"/>
        </w:rPr>
        <w:t xml:space="preserve">автомобильным транспортом - в автобусах междугородного сообщения.</w:t>
      </w:r>
    </w:p>
    <w:p>
      <w:pPr>
        <w:pStyle w:val="0"/>
        <w:spacing w:before="200" w:line-rule="auto"/>
        <w:ind w:firstLine="540"/>
        <w:jc w:val="both"/>
      </w:pPr>
      <w:r>
        <w:rPr>
          <w:sz w:val="20"/>
        </w:rPr>
        <w:t xml:space="preserve">5.3.2. Суточные расходы - в размере 300 рублей за каждый день нахождения в пути следования к месту профобучения и обратно.</w:t>
      </w:r>
    </w:p>
    <w:p>
      <w:pPr>
        <w:pStyle w:val="0"/>
        <w:spacing w:before="200" w:line-rule="auto"/>
        <w:ind w:firstLine="540"/>
        <w:jc w:val="both"/>
      </w:pPr>
      <w:r>
        <w:rPr>
          <w:sz w:val="20"/>
        </w:rPr>
        <w:t xml:space="preserve">5.3.3. Оплата найма жилого помещения на время профобучения - в размере фактических расходов, подтвержденных соответствующими документами, но не более 550 рублей в сутки.</w:t>
      </w:r>
    </w:p>
    <w:bookmarkStart w:id="3313" w:name="P3313"/>
    <w:bookmarkEnd w:id="3313"/>
    <w:p>
      <w:pPr>
        <w:pStyle w:val="0"/>
        <w:spacing w:before="200" w:line-rule="auto"/>
        <w:ind w:firstLine="540"/>
        <w:jc w:val="both"/>
      </w:pPr>
      <w:r>
        <w:rPr>
          <w:sz w:val="20"/>
        </w:rPr>
        <w:t xml:space="preserve">5.4.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w:t>
      </w:r>
    </w:p>
    <w:p>
      <w:pPr>
        <w:pStyle w:val="0"/>
        <w:jc w:val="both"/>
      </w:pPr>
      <w:r>
        <w:rPr>
          <w:sz w:val="20"/>
        </w:rPr>
        <w:t xml:space="preserve">(в ред. </w:t>
      </w:r>
      <w:hyperlink w:history="0" r:id="rId45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5.4.1. Заявление по форме, утвержденной Департаментом, с указанием своего почтового адреса, реквизитов лицевого счета для перечисления денежных средств.</w:t>
      </w:r>
    </w:p>
    <w:bookmarkStart w:id="3316" w:name="P3316"/>
    <w:bookmarkEnd w:id="3316"/>
    <w:p>
      <w:pPr>
        <w:pStyle w:val="0"/>
        <w:spacing w:before="200" w:line-rule="auto"/>
        <w:ind w:firstLine="540"/>
        <w:jc w:val="both"/>
      </w:pPr>
      <w:r>
        <w:rPr>
          <w:sz w:val="20"/>
        </w:rPr>
        <w:t xml:space="preserve">5.4.2. Документ о прохождении профобучения установленного образца, выданный организацией, осуществляющей образовательную деятельность (в случае досрочного прекращения профобучения, в том числе в связи с отчислением, представляют приказ об отчислении с указанием причин).</w:t>
      </w:r>
    </w:p>
    <w:p>
      <w:pPr>
        <w:pStyle w:val="0"/>
        <w:spacing w:before="200" w:line-rule="auto"/>
        <w:ind w:firstLine="540"/>
        <w:jc w:val="both"/>
      </w:pPr>
      <w:r>
        <w:rPr>
          <w:sz w:val="20"/>
        </w:rPr>
        <w:t xml:space="preserve">5.4.3. Документы, подтверждающие сведения о произведенных организационных расходах:</w:t>
      </w:r>
    </w:p>
    <w:p>
      <w:pPr>
        <w:pStyle w:val="0"/>
        <w:spacing w:before="200" w:line-rule="auto"/>
        <w:ind w:firstLine="540"/>
        <w:jc w:val="both"/>
      </w:pPr>
      <w:r>
        <w:rPr>
          <w:sz w:val="20"/>
        </w:rPr>
        <w:t xml:space="preserve">оригиналы проездных документов;</w:t>
      </w:r>
    </w:p>
    <w:p>
      <w:pPr>
        <w:pStyle w:val="0"/>
        <w:spacing w:before="200" w:line-rule="auto"/>
        <w:ind w:firstLine="540"/>
        <w:jc w:val="both"/>
      </w:pPr>
      <w:r>
        <w:rPr>
          <w:sz w:val="20"/>
        </w:rPr>
        <w:t xml:space="preserve">оригиналы документов, подтверждающих оплату найма жилого помещения.</w:t>
      </w:r>
    </w:p>
    <w:p>
      <w:pPr>
        <w:pStyle w:val="0"/>
        <w:spacing w:before="200" w:line-rule="auto"/>
        <w:ind w:firstLine="540"/>
        <w:jc w:val="both"/>
      </w:pPr>
      <w:r>
        <w:rPr>
          <w:sz w:val="20"/>
        </w:rPr>
        <w:t xml:space="preserve">5.5. В случае временной нетрудоспособности, подтвержденной документом установленного образца в соответствии с законодательством Российской Федерации, участники мероприятия представляют документы, указанные в </w:t>
      </w:r>
      <w:hyperlink w:history="0" w:anchor="P3313" w:tooltip="5.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
        <w:r>
          <w:rPr>
            <w:sz w:val="20"/>
            <w:color w:val="0000ff"/>
          </w:rPr>
          <w:t xml:space="preserve">пункте 5.4</w:t>
        </w:r>
      </w:hyperlink>
      <w:r>
        <w:rPr>
          <w:sz w:val="20"/>
        </w:rPr>
        <w:t xml:space="preserve"> Порядка, в течение 10 рабочих дней с даты окончания временной нетрудоспособности.</w:t>
      </w:r>
    </w:p>
    <w:p>
      <w:pPr>
        <w:pStyle w:val="0"/>
        <w:jc w:val="both"/>
      </w:pPr>
      <w:r>
        <w:rPr>
          <w:sz w:val="20"/>
        </w:rPr>
        <w:t xml:space="preserve">(в ред. </w:t>
      </w:r>
      <w:hyperlink w:history="0" r:id="rId460"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5.6. Центр занятости населения изготавливает и заверяет копию с документа, указанного в </w:t>
      </w:r>
      <w:hyperlink w:history="0" w:anchor="P3316" w:tooltip="5.4.2. Документ о прохождении профобучения установленного образца, выданный организацией, осуществляющей образовательную деятельность (в случае досрочного прекращения профобучения, в том числе в связи с отчислением, представляют приказ об отчислении с указанием причин).">
        <w:r>
          <w:rPr>
            <w:sz w:val="20"/>
            <w:color w:val="0000ff"/>
          </w:rPr>
          <w:t xml:space="preserve">подпункте 5.4.2 пункта 5.4</w:t>
        </w:r>
      </w:hyperlink>
      <w:r>
        <w:rPr>
          <w:sz w:val="20"/>
        </w:rPr>
        <w:t xml:space="preserve"> Порядка.</w:t>
      </w:r>
    </w:p>
    <w:p>
      <w:pPr>
        <w:pStyle w:val="0"/>
        <w:spacing w:before="200" w:line-rule="auto"/>
        <w:ind w:firstLine="540"/>
        <w:jc w:val="both"/>
      </w:pPr>
      <w:r>
        <w:rPr>
          <w:sz w:val="20"/>
        </w:rPr>
        <w:t xml:space="preserve">5.7. При представлении документов, указанных в </w:t>
      </w:r>
      <w:hyperlink w:history="0" w:anchor="P3313" w:tooltip="5.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
        <w:r>
          <w:rPr>
            <w:sz w:val="20"/>
            <w:color w:val="0000ff"/>
          </w:rPr>
          <w:t xml:space="preserve">пункте 5.4</w:t>
        </w:r>
      </w:hyperlink>
      <w:r>
        <w:rPr>
          <w:sz w:val="20"/>
        </w:rPr>
        <w:t xml:space="preserve"> Порядка, категории граждан, предусмотренные </w:t>
      </w:r>
      <w:hyperlink w:history="0" w:anchor="P3056" w:tooltip="1.4. Категории граждан, являющиеся участниками мероприятия (далее - участники мероприятия):">
        <w:r>
          <w:rPr>
            <w:sz w:val="20"/>
            <w:color w:val="0000ff"/>
          </w:rPr>
          <w:t xml:space="preserve">пунктом 1.4</w:t>
        </w:r>
      </w:hyperlink>
      <w:r>
        <w:rPr>
          <w:sz w:val="20"/>
        </w:rPr>
        <w:t xml:space="preserve"> Порядка, предъявляют документ, удостоверяющий личность.</w:t>
      </w:r>
    </w:p>
    <w:p>
      <w:pPr>
        <w:pStyle w:val="0"/>
        <w:jc w:val="both"/>
      </w:pPr>
      <w:r>
        <w:rPr>
          <w:sz w:val="20"/>
        </w:rPr>
        <w:t xml:space="preserve">(в ред. </w:t>
      </w:r>
      <w:hyperlink w:history="0" r:id="rId461"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5.8. Основаниями для отказа в компенсации организационных расходов являются:</w:t>
      </w:r>
    </w:p>
    <w:p>
      <w:pPr>
        <w:pStyle w:val="0"/>
        <w:spacing w:before="200" w:line-rule="auto"/>
        <w:ind w:firstLine="540"/>
        <w:jc w:val="both"/>
      </w:pPr>
      <w:r>
        <w:rPr>
          <w:sz w:val="20"/>
        </w:rPr>
        <w:t xml:space="preserve">непредставление (непредставление в полном объеме) документов, предусмотренных </w:t>
      </w:r>
      <w:hyperlink w:history="0" w:anchor="P3313" w:tooltip="5.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
        <w:r>
          <w:rPr>
            <w:sz w:val="20"/>
            <w:color w:val="0000ff"/>
          </w:rPr>
          <w:t xml:space="preserve">пунктом 5.4</w:t>
        </w:r>
      </w:hyperlink>
      <w:r>
        <w:rPr>
          <w:sz w:val="20"/>
        </w:rPr>
        <w:t xml:space="preserve"> Порядка, или их несоответствие установленным требованиям;</w:t>
      </w:r>
    </w:p>
    <w:p>
      <w:pPr>
        <w:pStyle w:val="0"/>
        <w:spacing w:before="200" w:line-rule="auto"/>
        <w:ind w:firstLine="540"/>
        <w:jc w:val="both"/>
      </w:pPr>
      <w:r>
        <w:rPr>
          <w:sz w:val="20"/>
        </w:rPr>
        <w:t xml:space="preserve">установление факта недостоверности информации, представленной в документах;</w:t>
      </w:r>
    </w:p>
    <w:p>
      <w:pPr>
        <w:pStyle w:val="0"/>
        <w:spacing w:before="200" w:line-rule="auto"/>
        <w:ind w:firstLine="540"/>
        <w:jc w:val="both"/>
      </w:pPr>
      <w:r>
        <w:rPr>
          <w:sz w:val="20"/>
        </w:rPr>
        <w:t xml:space="preserve">нарушение срока представления документов, указанного в </w:t>
      </w:r>
      <w:hyperlink w:history="0" w:anchor="P3313" w:tooltip="5.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
        <w:r>
          <w:rPr>
            <w:sz w:val="20"/>
            <w:color w:val="0000ff"/>
          </w:rPr>
          <w:t xml:space="preserve">пункте 5.4</w:t>
        </w:r>
      </w:hyperlink>
      <w:r>
        <w:rPr>
          <w:sz w:val="20"/>
        </w:rPr>
        <w:t xml:space="preserve"> Порядка.</w:t>
      </w:r>
    </w:p>
    <w:p>
      <w:pPr>
        <w:pStyle w:val="0"/>
        <w:spacing w:before="200" w:line-rule="auto"/>
        <w:ind w:firstLine="540"/>
        <w:jc w:val="both"/>
      </w:pPr>
      <w:r>
        <w:rPr>
          <w:sz w:val="20"/>
        </w:rPr>
        <w:t xml:space="preserve">5.8.1. Центр занятости населения в течение 3 рабочих дней со дня представления документов, предусмотренных </w:t>
      </w:r>
      <w:hyperlink w:history="0" w:anchor="P3313" w:tooltip="5.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
        <w:r>
          <w:rPr>
            <w:sz w:val="20"/>
            <w:color w:val="0000ff"/>
          </w:rPr>
          <w:t xml:space="preserve">пунктом 5.4</w:t>
        </w:r>
      </w:hyperlink>
      <w:r>
        <w:rPr>
          <w:sz w:val="20"/>
        </w:rPr>
        <w:t xml:space="preserve"> Порядка, принимает одно из решений: о компенсации либо об отказе в компенсации организационных расходов по форме, утвержденной Департаментом.</w:t>
      </w:r>
    </w:p>
    <w:p>
      <w:pPr>
        <w:pStyle w:val="0"/>
        <w:spacing w:before="200" w:line-rule="auto"/>
        <w:ind w:firstLine="540"/>
        <w:jc w:val="both"/>
      </w:pPr>
      <w:r>
        <w:rPr>
          <w:sz w:val="20"/>
        </w:rPr>
        <w:t xml:space="preserve">5.8.2. В течение 1 рабочего дня со дня принятия решения об отказе в компенсации организационных расходов центр занятости населения представляет непосредственно или направляет почтовым отправлением соответствующее уведомление участникам мероприятия по форме, утвержденной приказом Департамента.</w:t>
      </w:r>
    </w:p>
    <w:p>
      <w:pPr>
        <w:pStyle w:val="0"/>
        <w:jc w:val="both"/>
      </w:pPr>
      <w:r>
        <w:rPr>
          <w:sz w:val="20"/>
        </w:rPr>
        <w:t xml:space="preserve">(в ред. </w:t>
      </w:r>
      <w:hyperlink w:history="0" r:id="rId462"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5.9. Компенсацию организационных расходов осуществляют центры занятости населения в течение 7 рабочих дней со дня получения документов, указанных в </w:t>
      </w:r>
      <w:hyperlink w:history="0" w:anchor="P3313" w:tooltip="5.4. Для компенсации организационных расходов участники мероприятия, направленные на профобучение в другую местность, не позднее 10 рабочих дней со дня прибытия с профобучения представляют в центр занятости населения следующие документы:">
        <w:r>
          <w:rPr>
            <w:sz w:val="20"/>
            <w:color w:val="0000ff"/>
          </w:rPr>
          <w:t xml:space="preserve">пункте 5.4</w:t>
        </w:r>
      </w:hyperlink>
      <w:r>
        <w:rPr>
          <w:sz w:val="20"/>
        </w:rPr>
        <w:t xml:space="preserve"> Порядка, путем перечисления денежных средств на указанный в договоре лицевой счет гражданину, отнесенному к участникам мероприятия и направленному на профобучение в другую местность, либо через отделение федеральной почтовой связи.</w:t>
      </w:r>
    </w:p>
    <w:p>
      <w:pPr>
        <w:pStyle w:val="0"/>
        <w:jc w:val="both"/>
      </w:pPr>
      <w:r>
        <w:rPr>
          <w:sz w:val="20"/>
        </w:rPr>
        <w:t xml:space="preserve">(в ред. </w:t>
      </w:r>
      <w:hyperlink w:history="0" r:id="rId463"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5.10. Трудоустройство или открытие собственного дела, регистрация в качестве плательщика налога на профессиональный доход участником мероприятия в период прохождения профобучения не является основанием для прекращения предоставления средств на организационные расходы.</w:t>
      </w:r>
    </w:p>
    <w:p>
      <w:pPr>
        <w:pStyle w:val="0"/>
        <w:jc w:val="both"/>
      </w:pPr>
      <w:r>
        <w:rPr>
          <w:sz w:val="20"/>
        </w:rPr>
        <w:t xml:space="preserve">(в ред. </w:t>
      </w:r>
      <w:hyperlink w:history="0" r:id="rId464"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bookmarkStart w:id="3336" w:name="P3336"/>
    <w:bookmarkEnd w:id="3336"/>
    <w:p>
      <w:pPr>
        <w:pStyle w:val="0"/>
        <w:spacing w:before="200" w:line-rule="auto"/>
        <w:ind w:firstLine="540"/>
        <w:jc w:val="both"/>
      </w:pPr>
      <w:r>
        <w:rPr>
          <w:sz w:val="20"/>
        </w:rPr>
        <w:t xml:space="preserve">5.11. Участникам мероприятия, указанным в </w:t>
      </w:r>
      <w:hyperlink w:history="0" w:anchor="P3056" w:tooltip="1.4. Категории граждан, являющиеся участниками мероприятия (далее - участники мероприятия):">
        <w:r>
          <w:rPr>
            <w:sz w:val="20"/>
            <w:color w:val="0000ff"/>
          </w:rPr>
          <w:t xml:space="preserve">пункте 1.4</w:t>
        </w:r>
      </w:hyperlink>
      <w:r>
        <w:rPr>
          <w:sz w:val="20"/>
        </w:rPr>
        <w:t xml:space="preserve"> Порядка, не являющимся получателями пенсии по государственному пенсионному обеспечению и не состоящим в трудовых отношениях, во время профобучения выплачивается стипендия.</w:t>
      </w:r>
    </w:p>
    <w:p>
      <w:pPr>
        <w:pStyle w:val="0"/>
        <w:jc w:val="both"/>
      </w:pPr>
      <w:r>
        <w:rPr>
          <w:sz w:val="20"/>
        </w:rPr>
        <w:t xml:space="preserve">(в ред. </w:t>
      </w:r>
      <w:hyperlink w:history="0" r:id="rId465"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03.03.2023 N 68-п)</w:t>
      </w:r>
    </w:p>
    <w:p>
      <w:pPr>
        <w:pStyle w:val="0"/>
        <w:spacing w:before="200" w:line-rule="auto"/>
        <w:ind w:firstLine="540"/>
        <w:jc w:val="both"/>
      </w:pPr>
      <w:r>
        <w:rPr>
          <w:sz w:val="20"/>
        </w:rPr>
        <w:t xml:space="preserve">Трудоустройство, получение или назначение пенсии по государственному обеспечению, достижение ребенком возраста 7 лет (для женщины, не состоящей в трудовых отношениях) не является основанием для прекращения профобучения, но является основанием для прекращения выплаты стипендии гражданам, указанным в </w:t>
      </w:r>
      <w:hyperlink w:history="0" w:anchor="P3336" w:tooltip="5.11. Участникам мероприятия, указанным в пункте 1.4 Порядка, не являющимся получателями пенсии по государственному пенсионному обеспечению и не состоящим в трудовых отношениях, во время профобучения выплачивается стипендия.">
        <w:r>
          <w:rPr>
            <w:sz w:val="20"/>
            <w:color w:val="0000ff"/>
          </w:rPr>
          <w:t xml:space="preserve">пункте 5.11</w:t>
        </w:r>
      </w:hyperlink>
      <w:r>
        <w:rPr>
          <w:sz w:val="20"/>
        </w:rPr>
        <w:t xml:space="preserve"> Порядка.</w:t>
      </w:r>
    </w:p>
    <w:p>
      <w:pPr>
        <w:pStyle w:val="0"/>
        <w:jc w:val="both"/>
      </w:pPr>
      <w:r>
        <w:rPr>
          <w:sz w:val="20"/>
        </w:rPr>
        <w:t xml:space="preserve">(абзац введен </w:t>
      </w:r>
      <w:hyperlink w:history="0" r:id="rId466"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5.12. Размер стипендии на период профобучения составляет минимальную величину пособия по безработице, установленную в Российской Федерации, увеличенную на размер районного коэффициента.</w:t>
      </w:r>
    </w:p>
    <w:p>
      <w:pPr>
        <w:pStyle w:val="0"/>
        <w:spacing w:before="200" w:line-rule="auto"/>
        <w:ind w:firstLine="540"/>
        <w:jc w:val="both"/>
      </w:pPr>
      <w:r>
        <w:rPr>
          <w:sz w:val="20"/>
        </w:rPr>
        <w:t xml:space="preserve">5.13. Стипендия перечисляется гражданам, предусмотренным </w:t>
      </w:r>
      <w:hyperlink w:history="0" w:anchor="P3336" w:tooltip="5.11. Участникам мероприятия, указанным в пункте 1.4 Порядка, не являющимся получателями пенсии по государственному пенсионному обеспечению и не состоящим в трудовых отношениях, во время профобучения выплачивается стипендия.">
        <w:r>
          <w:rPr>
            <w:sz w:val="20"/>
            <w:color w:val="0000ff"/>
          </w:rPr>
          <w:t xml:space="preserve">пунктом 5.11</w:t>
        </w:r>
      </w:hyperlink>
      <w:r>
        <w:rPr>
          <w:sz w:val="20"/>
        </w:rPr>
        <w:t xml:space="preserve"> Порядка, ежемесячно, пропорционально фактическому периоду профобучения, на лицевой счет, открытый ими в кредитных учреждениях Российской Федерации, или через отделения почтовой связи по адресу проживания (пребывания) в автономном округе, указанному ими в заявлении согласно </w:t>
      </w:r>
      <w:hyperlink w:history="0" w:anchor="P3085" w:tooltip="1.10.1. Заявление по утвержденной Департаментом форме.">
        <w:r>
          <w:rPr>
            <w:sz w:val="20"/>
            <w:color w:val="0000ff"/>
          </w:rPr>
          <w:t xml:space="preserve">подпункту 1.10.1 пункта 1.10</w:t>
        </w:r>
      </w:hyperlink>
      <w:r>
        <w:rPr>
          <w:sz w:val="20"/>
        </w:rPr>
        <w:t xml:space="preserve"> Порядка (почтовым переводом), в течение 7 рабочих дней с даты представления организацией, осуществляющей образовательную деятельность, справки о посещаемости.</w:t>
      </w:r>
    </w:p>
    <w:p>
      <w:pPr>
        <w:pStyle w:val="0"/>
        <w:jc w:val="both"/>
      </w:pPr>
      <w:r>
        <w:rPr>
          <w:sz w:val="20"/>
        </w:rPr>
        <w:t xml:space="preserve">(в ред. </w:t>
      </w:r>
      <w:hyperlink w:history="0" r:id="rId467" w:tooltip="Постановление Правительства ХМАО - Югры от 27.05.2022 N 22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27.05.2022 N 228-п)</w:t>
      </w:r>
    </w:p>
    <w:p>
      <w:pPr>
        <w:pStyle w:val="0"/>
        <w:spacing w:before="200" w:line-rule="auto"/>
        <w:ind w:firstLine="540"/>
        <w:jc w:val="both"/>
      </w:pPr>
      <w:r>
        <w:rPr>
          <w:sz w:val="20"/>
        </w:rPr>
        <w:t xml:space="preserve">5.14. Комиссионное вознаграждение по банковским операциям, возникающим при выплате стипендии, выплачивается в размере не более 0,5% от перечисляемой суммы.</w:t>
      </w:r>
    </w:p>
    <w:p>
      <w:pPr>
        <w:pStyle w:val="0"/>
        <w:spacing w:before="200" w:line-rule="auto"/>
        <w:ind w:firstLine="540"/>
        <w:jc w:val="both"/>
      </w:pPr>
      <w:r>
        <w:rPr>
          <w:sz w:val="20"/>
        </w:rPr>
        <w:t xml:space="preserve">5.15. Категории граждан, предусмотренные </w:t>
      </w:r>
      <w:hyperlink w:history="0" w:anchor="P3056" w:tooltip="1.4. Категории граждан, являющиеся участниками мероприятия (далее - участники мероприятия):">
        <w:r>
          <w:rPr>
            <w:sz w:val="20"/>
            <w:color w:val="0000ff"/>
          </w:rPr>
          <w:t xml:space="preserve">пунктом 1.4</w:t>
        </w:r>
      </w:hyperlink>
      <w:r>
        <w:rPr>
          <w:sz w:val="20"/>
        </w:rPr>
        <w:t xml:space="preserve"> Порядка, направленные и не прошедшие (без уважительной причины) полный курс профобучения, возвращают бюджетные средства в порядке, установленном договором.</w:t>
      </w:r>
    </w:p>
    <w:p>
      <w:pPr>
        <w:pStyle w:val="0"/>
        <w:spacing w:before="200" w:line-rule="auto"/>
        <w:ind w:firstLine="540"/>
        <w:jc w:val="both"/>
      </w:pPr>
      <w:r>
        <w:rPr>
          <w:sz w:val="20"/>
        </w:rPr>
        <w:t xml:space="preserve">5.15.1. К документам, подтверждающим наличие уважительных причин, относятся:</w:t>
      </w:r>
    </w:p>
    <w:p>
      <w:pPr>
        <w:pStyle w:val="0"/>
        <w:spacing w:before="200" w:line-rule="auto"/>
        <w:ind w:firstLine="540"/>
        <w:jc w:val="both"/>
      </w:pPr>
      <w:r>
        <w:rPr>
          <w:sz w:val="20"/>
        </w:rPr>
        <w:t xml:space="preserve">лист нетрудоспособности;</w:t>
      </w:r>
    </w:p>
    <w:p>
      <w:pPr>
        <w:pStyle w:val="0"/>
        <w:spacing w:before="200" w:line-rule="auto"/>
        <w:ind w:firstLine="540"/>
        <w:jc w:val="both"/>
      </w:pPr>
      <w:r>
        <w:rPr>
          <w:sz w:val="20"/>
        </w:rPr>
        <w:t xml:space="preserve">документы, подтверждающие период участия в осуществлении правосудия в качестве присяжного или арбитражного заседателя;</w:t>
      </w:r>
    </w:p>
    <w:p>
      <w:pPr>
        <w:pStyle w:val="0"/>
        <w:spacing w:before="200" w:line-rule="auto"/>
        <w:ind w:firstLine="540"/>
        <w:jc w:val="both"/>
      </w:pPr>
      <w:r>
        <w:rPr>
          <w:sz w:val="20"/>
        </w:rPr>
        <w:t xml:space="preserve">документы, подтверждающие факты непредотвратимых обстоятельств (пожар, наводнение и др.).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12</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НА ОРГАНИЗАЦИЮ ПРОФЕССИОНАЛЬНОГО</w:t>
      </w:r>
    </w:p>
    <w:p>
      <w:pPr>
        <w:pStyle w:val="2"/>
        <w:jc w:val="center"/>
      </w:pPr>
      <w:r>
        <w:rPr>
          <w:sz w:val="20"/>
        </w:rPr>
        <w:t xml:space="preserve">ОБУЧЕНИЯ И ДОПОЛНИТЕЛЬНОГО ПРОФЕССИОНАЛЬНОГО ОБРАЗОВАНИЯ</w:t>
      </w:r>
    </w:p>
    <w:p>
      <w:pPr>
        <w:pStyle w:val="2"/>
        <w:jc w:val="center"/>
      </w:pPr>
      <w:r>
        <w:rPr>
          <w:sz w:val="20"/>
        </w:rPr>
        <w:t xml:space="preserve">РАБОТНИКОВ, НАХОДЯЩИХСЯ ПОД РИСКОМ УВОЛЬНЕНИЯ</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Утратил силу с 17 марта 2023 года. - </w:t>
      </w:r>
      <w:hyperlink w:history="0" r:id="rId468"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13</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3378" w:name="P3378"/>
    <w:bookmarkEnd w:id="3378"/>
    <w:p>
      <w:pPr>
        <w:pStyle w:val="2"/>
        <w:jc w:val="center"/>
      </w:pPr>
      <w:r>
        <w:rPr>
          <w:sz w:val="20"/>
        </w:rPr>
        <w:t xml:space="preserve">ПОРЯДОК</w:t>
      </w:r>
    </w:p>
    <w:p>
      <w:pPr>
        <w:pStyle w:val="2"/>
        <w:jc w:val="center"/>
      </w:pPr>
      <w:r>
        <w:rPr>
          <w:sz w:val="20"/>
        </w:rPr>
        <w:t xml:space="preserve">РЕАЛИЗАЦИИ МЕРОПРИЯТИЙ, НАПРАВЛЕННЫХ НА ПОВЫШЕНИЕ</w:t>
      </w:r>
    </w:p>
    <w:p>
      <w:pPr>
        <w:pStyle w:val="2"/>
        <w:jc w:val="center"/>
      </w:pPr>
      <w:r>
        <w:rPr>
          <w:sz w:val="20"/>
        </w:rPr>
        <w:t xml:space="preserve">ЭФФЕКТИВНОСТИ ИСПОЛЬЗОВАНИЯ ИМЕЮЩИХСЯ ТРУДОВЫХ РЕСУРСОВ</w:t>
      </w:r>
    </w:p>
    <w:p>
      <w:pPr>
        <w:pStyle w:val="2"/>
        <w:jc w:val="center"/>
      </w:pPr>
      <w:r>
        <w:rPr>
          <w:sz w:val="20"/>
        </w:rPr>
        <w:t xml:space="preserve">И ПРИВЛЕЧЕНИЕ ТРУДОВЫХ РЕСУРСОВ ИЗ ДРУГИХ СУБЪЕКТОВ</w:t>
      </w:r>
    </w:p>
    <w:p>
      <w:pPr>
        <w:pStyle w:val="2"/>
        <w:jc w:val="center"/>
      </w:pPr>
      <w:r>
        <w:rPr>
          <w:sz w:val="20"/>
        </w:rPr>
        <w:t xml:space="preserve">РОССИЙСКОЙ ФЕДЕРАЦИИ ДЛЯ ТРУДОУСТРОЙСТВА НА УСЛОВИЯХ</w:t>
      </w:r>
    </w:p>
    <w:p>
      <w:pPr>
        <w:pStyle w:val="2"/>
        <w:jc w:val="center"/>
      </w:pPr>
      <w:r>
        <w:rPr>
          <w:sz w:val="20"/>
        </w:rPr>
        <w:t xml:space="preserve">ПОДПРОГРАММЫ "ПОВЫШЕНИЕ МОБИЛЬНОСТИ ТРУДОВЫХ РЕСУРСОВ</w:t>
      </w:r>
    </w:p>
    <w:p>
      <w:pPr>
        <w:pStyle w:val="2"/>
        <w:jc w:val="center"/>
      </w:pPr>
      <w:r>
        <w:rPr>
          <w:sz w:val="20"/>
        </w:rPr>
        <w:t xml:space="preserve">В АВТОНОМНОМ ОКРУГЕ"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46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01.07.2022 </w:t>
            </w:r>
            <w:hyperlink w:history="0" r:id="rId470"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298-п</w:t>
              </w:r>
            </w:hyperlink>
            <w:r>
              <w:rPr>
                <w:sz w:val="20"/>
                <w:color w:val="392c69"/>
              </w:rPr>
              <w:t xml:space="preserve">, от 18.11.2022 </w:t>
            </w:r>
            <w:hyperlink w:history="0" r:id="rId471"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bookmarkStart w:id="3391" w:name="P3391"/>
    <w:bookmarkEnd w:id="3391"/>
    <w:p>
      <w:pPr>
        <w:pStyle w:val="0"/>
        <w:ind w:firstLine="540"/>
        <w:jc w:val="both"/>
      </w:pPr>
      <w:r>
        <w:rPr>
          <w:sz w:val="20"/>
        </w:rPr>
        <w:t xml:space="preserve">1.1. Порядок определяет:</w:t>
      </w:r>
    </w:p>
    <w:p>
      <w:pPr>
        <w:pStyle w:val="0"/>
        <w:spacing w:before="200" w:line-rule="auto"/>
        <w:ind w:firstLine="540"/>
        <w:jc w:val="both"/>
      </w:pPr>
      <w:r>
        <w:rPr>
          <w:sz w:val="20"/>
        </w:rPr>
        <w:t xml:space="preserve">механизм реализации мероприятий, направленных на повышение эффективности использования имеющихся трудовых ресурсов автономного округа и привлечение трудовых ресурсов из других субъектов Российской Федерации для трудоустройства у работодателя, включенного в </w:t>
      </w:r>
      <w:hyperlink w:history="0" r:id="rId47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"Повышение мобильности трудовых ресурсов в автономном округе";</w:t>
      </w:r>
    </w:p>
    <w:p>
      <w:pPr>
        <w:pStyle w:val="0"/>
        <w:spacing w:before="200" w:line-rule="auto"/>
        <w:ind w:firstLine="540"/>
        <w:jc w:val="both"/>
      </w:pPr>
      <w:r>
        <w:rPr>
          <w:sz w:val="20"/>
        </w:rPr>
        <w:t xml:space="preserve">порядок отбора работодателей для включения в </w:t>
      </w:r>
      <w:hyperlink w:history="0" r:id="rId47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"Повышение мобильности трудовых ресурсов в автономном округе".</w:t>
      </w:r>
    </w:p>
    <w:p>
      <w:pPr>
        <w:pStyle w:val="0"/>
        <w:spacing w:before="200" w:line-rule="auto"/>
        <w:ind w:firstLine="540"/>
        <w:jc w:val="both"/>
      </w:pPr>
      <w:r>
        <w:rPr>
          <w:sz w:val="20"/>
        </w:rPr>
        <w:t xml:space="preserve">Порядок применяется для реализации мероприятий по проведению комплекса мероприятий, направленных на создание условий для привлечения квалифицированных кадров для трудоустройства в автономном округе, по основному </w:t>
      </w:r>
      <w:hyperlink w:history="0" r:id="rId47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мероприятию 3.2</w:t>
        </w:r>
      </w:hyperlink>
      <w:r>
        <w:rPr>
          <w:sz w:val="20"/>
        </w:rPr>
        <w:t xml:space="preserve"> "Содействие обеспечению работодателей трудовыми ресурсами" подпрограммы 3 "Повышение мобильности трудовых ресурсов в Ханты-Мансийском автономном округе - Югре"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pPr>
        <w:pStyle w:val="0"/>
        <w:spacing w:before="200" w:line-rule="auto"/>
        <w:ind w:firstLine="540"/>
        <w:jc w:val="both"/>
      </w:pPr>
      <w:r>
        <w:rPr>
          <w:sz w:val="20"/>
        </w:rPr>
        <w:t xml:space="preserve">1.2. Финансовое обеспечение мероприятий, указанных в </w:t>
      </w:r>
      <w:hyperlink w:history="0" w:anchor="P3391" w:tooltip="1.1. Порядок определяет:">
        <w:r>
          <w:rPr>
            <w:sz w:val="20"/>
            <w:color w:val="0000ff"/>
          </w:rPr>
          <w:t xml:space="preserve">пункте 1.1</w:t>
        </w:r>
      </w:hyperlink>
      <w:r>
        <w:rPr>
          <w:sz w:val="20"/>
        </w:rPr>
        <w:t xml:space="preserve"> Порядка, осуществляется в пределах средств, доведенных Департаменту труда и занятости населения автономного округа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1.3. В Порядке применяются следующие основные понятия и сокращения:</w:t>
      </w:r>
    </w:p>
    <w:p>
      <w:pPr>
        <w:pStyle w:val="0"/>
        <w:spacing w:before="200" w:line-rule="auto"/>
        <w:ind w:firstLine="540"/>
        <w:jc w:val="both"/>
      </w:pPr>
      <w:r>
        <w:rPr>
          <w:sz w:val="20"/>
        </w:rPr>
        <w:t xml:space="preserve">подпрограмма 3 - </w:t>
      </w:r>
      <w:hyperlink w:history="0" r:id="rId47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подпрограмма 3</w:t>
        </w:r>
      </w:hyperlink>
      <w:r>
        <w:rPr>
          <w:sz w:val="20"/>
        </w:rPr>
        <w:t xml:space="preserve"> "Повышение мобильности трудовых ресурсов в автономном округе";</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граждане - ищущие работу граждане, зарегистрированные в установленном законодательством Российской Федерации порядке в центрах занятости населения автономного округа либо в органах службы занятости населения других субъектов Российской Федерации, за исключением субъектов Российской Федерации, привлечение трудовых ресурсов в которые является приоритетным (в соответствии с </w:t>
      </w:r>
      <w:hyperlink w:history="0" r:id="rId476"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перечнем</w:t>
        </w:r>
      </w:hyperlink>
      <w:r>
        <w:rPr>
          <w:sz w:val="20"/>
        </w:rPr>
        <w:t xml:space="preserve"> субъектов Российской Федерации, привлечение трудовых ресурсов в которые является приоритетным, утвержденным распоряжением Правительства Российской Федерации от 20 апреля 2015 года N 696-р); граждане, осуществляющие трудовую деятельность у работодателя, включенного в </w:t>
      </w:r>
      <w:hyperlink w:history="0" r:id="rId47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работники которого призваны на военную службу в Вооруженные Силы Российской Федерации по мобилизации;</w:t>
      </w:r>
    </w:p>
    <w:p>
      <w:pPr>
        <w:pStyle w:val="0"/>
        <w:jc w:val="both"/>
      </w:pPr>
      <w:r>
        <w:rPr>
          <w:sz w:val="20"/>
        </w:rPr>
        <w:t xml:space="preserve">(в ред. </w:t>
      </w:r>
      <w:hyperlink w:history="0" r:id="rId478"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p>
      <w:pPr>
        <w:pStyle w:val="0"/>
        <w:spacing w:before="200" w:line-rule="auto"/>
        <w:ind w:firstLine="540"/>
        <w:jc w:val="both"/>
      </w:pPr>
      <w:r>
        <w:rPr>
          <w:sz w:val="20"/>
        </w:rPr>
        <w:t xml:space="preserve">работодатель - юридическое лицо независимо от организационно-правовой формы (за исключением исполнительных органов автономного округа, органов местного самоуправления муниципальных образований автономного округа), физическое лицо, зарегистрированное в установленном порядке в качестве индивидуального предпринимателя, индивидуальный предприниматель, зарегистрированный в качестве главы крестьянского (фермерского) хозяйства, испытывающие потребность в трудовых ресурсах для осуществления своей хозяйственной деятельности;</w:t>
      </w:r>
    </w:p>
    <w:p>
      <w:pPr>
        <w:pStyle w:val="0"/>
        <w:jc w:val="both"/>
      </w:pPr>
      <w:r>
        <w:rPr>
          <w:sz w:val="20"/>
        </w:rPr>
        <w:t xml:space="preserve">(в ред. </w:t>
      </w:r>
      <w:hyperlink w:history="0" r:id="rId479"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профобучение - профессиональное обучение и дополнительное профессиональное образование граждан, зарегистрированных в установленном законодательством Российской Федерации порядке в центрах занятости населения автономного округа и желающих осуществлять трудовую деятельность у работодателя, включенного в </w:t>
      </w:r>
      <w:hyperlink w:history="0" r:id="rId48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либо граждан, осуществляющих трудовую деятельность у работодателя, включенного в </w:t>
      </w:r>
      <w:hyperlink w:history="0" r:id="rId48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работники которого призваны на военную службу в Вооруженные Силы Российской Федерации по мобилизации, с целью получения необходимой квалификации;</w:t>
      </w:r>
    </w:p>
    <w:p>
      <w:pPr>
        <w:pStyle w:val="0"/>
        <w:jc w:val="both"/>
      </w:pPr>
      <w:r>
        <w:rPr>
          <w:sz w:val="20"/>
        </w:rPr>
        <w:t xml:space="preserve">(в ред. </w:t>
      </w:r>
      <w:hyperlink w:history="0" r:id="rId482"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p>
      <w:pPr>
        <w:pStyle w:val="0"/>
        <w:spacing w:before="200" w:line-rule="auto"/>
        <w:ind w:firstLine="540"/>
        <w:jc w:val="both"/>
      </w:pPr>
      <w:r>
        <w:rPr>
          <w:sz w:val="20"/>
        </w:rPr>
        <w:t xml:space="preserve">организация, осуществляющая образовательную деятельность, - организация, определенная </w:t>
      </w:r>
      <w:hyperlink w:history="0" r:id="rId48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20 статьи 2</w:t>
        </w:r>
      </w:hyperlink>
      <w:r>
        <w:rPr>
          <w:sz w:val="20"/>
        </w:rPr>
        <w:t xml:space="preserve"> Федерального закона от 29 декабря 2012 года N 273-ФЗ "Об образовании в Российской Федерации".</w:t>
      </w:r>
    </w:p>
    <w:p>
      <w:pPr>
        <w:pStyle w:val="0"/>
        <w:spacing w:before="200" w:line-rule="auto"/>
        <w:ind w:firstLine="540"/>
        <w:jc w:val="both"/>
      </w:pPr>
      <w:r>
        <w:rPr>
          <w:sz w:val="20"/>
        </w:rPr>
        <w:t xml:space="preserve">1.4. Средняя продолжительность профобучения граждан составляет не более восьми месяцев.</w:t>
      </w:r>
    </w:p>
    <w:p>
      <w:pPr>
        <w:pStyle w:val="0"/>
        <w:spacing w:before="200" w:line-rule="auto"/>
        <w:ind w:firstLine="540"/>
        <w:jc w:val="both"/>
      </w:pPr>
      <w:r>
        <w:rPr>
          <w:sz w:val="20"/>
        </w:rPr>
        <w:t xml:space="preserve">1.5. Повторное участие работодателя в мероприятии в течение трех лет не допускается.</w:t>
      </w:r>
    </w:p>
    <w:p>
      <w:pPr>
        <w:pStyle w:val="0"/>
        <w:spacing w:before="200" w:line-rule="auto"/>
        <w:ind w:firstLine="540"/>
        <w:jc w:val="both"/>
      </w:pPr>
      <w:r>
        <w:rPr>
          <w:sz w:val="20"/>
        </w:rPr>
        <w:t xml:space="preserve">1.6. Профобучение одного и того же гражданина по нескольким профессиям в период действия настоящей государственной программы не допускается.</w:t>
      </w:r>
    </w:p>
    <w:p>
      <w:pPr>
        <w:pStyle w:val="0"/>
        <w:spacing w:before="200" w:line-rule="auto"/>
        <w:ind w:firstLine="540"/>
        <w:jc w:val="both"/>
      </w:pPr>
      <w:r>
        <w:rPr>
          <w:sz w:val="20"/>
        </w:rPr>
        <w:t xml:space="preserve">1.7. Информирование работодателей о возможности участия в Подпрограмме осуществляется сотрудниками центров занятости населения при оказании государственной услуги по содействию работодателям в подборе необходимых работников, а также Департаментом путем размещения информации в сети Интернет на официальном сайте (</w:t>
      </w:r>
      <w:r>
        <w:rPr>
          <w:sz w:val="20"/>
        </w:rPr>
        <w:t xml:space="preserve">https://deptrud.admhmao.ru</w:t>
      </w:r>
      <w:r>
        <w:rPr>
          <w:sz w:val="20"/>
        </w:rPr>
        <w:t xml:space="preserve">).</w:t>
      </w:r>
    </w:p>
    <w:p>
      <w:pPr>
        <w:pStyle w:val="0"/>
        <w:jc w:val="both"/>
      </w:pPr>
      <w:r>
        <w:rPr>
          <w:sz w:val="20"/>
        </w:rPr>
        <w:t xml:space="preserve">(п. 1.7 введен </w:t>
      </w:r>
      <w:hyperlink w:history="0" r:id="rId48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jc w:val="both"/>
      </w:pPr>
      <w:r>
        <w:rPr>
          <w:sz w:val="20"/>
        </w:rPr>
      </w:r>
    </w:p>
    <w:p>
      <w:pPr>
        <w:pStyle w:val="2"/>
        <w:outlineLvl w:val="1"/>
        <w:jc w:val="center"/>
      </w:pPr>
      <w:r>
        <w:rPr>
          <w:sz w:val="20"/>
        </w:rPr>
        <w:t xml:space="preserve">II. ПОРЯДОК ОТБОРА РАБОТОДАТЕЛЕЙ ДЛЯ ВКЛЮЧЕНИЯ</w:t>
      </w:r>
    </w:p>
    <w:p>
      <w:pPr>
        <w:pStyle w:val="2"/>
        <w:jc w:val="center"/>
      </w:pPr>
      <w:r>
        <w:rPr>
          <w:sz w:val="20"/>
        </w:rPr>
        <w:t xml:space="preserve">В ПОДПРОГРАММУ 3</w:t>
      </w:r>
    </w:p>
    <w:p>
      <w:pPr>
        <w:pStyle w:val="0"/>
        <w:jc w:val="both"/>
      </w:pPr>
      <w:r>
        <w:rPr>
          <w:sz w:val="20"/>
        </w:rPr>
      </w:r>
    </w:p>
    <w:bookmarkStart w:id="3416" w:name="P3416"/>
    <w:bookmarkEnd w:id="3416"/>
    <w:p>
      <w:pPr>
        <w:pStyle w:val="0"/>
        <w:ind w:firstLine="540"/>
        <w:jc w:val="both"/>
      </w:pPr>
      <w:r>
        <w:rPr>
          <w:sz w:val="20"/>
        </w:rPr>
        <w:t xml:space="preserve">2.1. Для участия в </w:t>
      </w:r>
      <w:hyperlink w:history="0" r:id="rId48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подпрограмме 3</w:t>
        </w:r>
      </w:hyperlink>
      <w:r>
        <w:rPr>
          <w:sz w:val="20"/>
        </w:rPr>
        <w:t xml:space="preserve"> работодатель представляет в Департамент заявку по установленной Департаментом форме и приложенные к ней следующие документы:</w:t>
      </w:r>
    </w:p>
    <w:p>
      <w:pPr>
        <w:pStyle w:val="0"/>
        <w:spacing w:before="200" w:line-rule="auto"/>
        <w:ind w:firstLine="540"/>
        <w:jc w:val="both"/>
      </w:pPr>
      <w:r>
        <w:rPr>
          <w:sz w:val="20"/>
        </w:rPr>
        <w:t xml:space="preserve">2.1.1. Сведения о потребности в работниках, наличии свободных рабочих мест и вакантных должностей, предварительно представленные в соответствии с </w:t>
      </w:r>
      <w:hyperlink w:history="0" r:id="rId48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25</w:t>
        </w:r>
      </w:hyperlink>
      <w:r>
        <w:rPr>
          <w:sz w:val="20"/>
        </w:rPr>
        <w:t xml:space="preserve"> Закона Российской Федерации от 19 апреля 1991 года N 1032-1 "О занятости населения в Российской Федерации" в центр занятости по месту предполагаемого привлечения работников.</w:t>
      </w:r>
    </w:p>
    <w:p>
      <w:pPr>
        <w:pStyle w:val="0"/>
        <w:spacing w:before="200" w:line-rule="auto"/>
        <w:ind w:firstLine="540"/>
        <w:jc w:val="both"/>
      </w:pPr>
      <w:r>
        <w:rPr>
          <w:sz w:val="20"/>
        </w:rPr>
        <w:t xml:space="preserve">2.1.2. Копии приказов, ведомственных актов, определяющих предоставление работодателем дополнительных мер социальной поддержки гражданам, переселяющимся из другой местности для трудоустройства (возможность предоставления жилого помещения, компенсации расходов за наем жилого помещения, иные меры поддержки) - при их наличии.</w:t>
      </w:r>
    </w:p>
    <w:p>
      <w:pPr>
        <w:pStyle w:val="0"/>
        <w:jc w:val="both"/>
      </w:pPr>
      <w:r>
        <w:rPr>
          <w:sz w:val="20"/>
        </w:rPr>
        <w:t xml:space="preserve">(в ред. </w:t>
      </w:r>
      <w:hyperlink w:history="0" r:id="rId487"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bookmarkStart w:id="3420" w:name="P3420"/>
    <w:bookmarkEnd w:id="3420"/>
    <w:p>
      <w:pPr>
        <w:pStyle w:val="0"/>
        <w:spacing w:before="200" w:line-rule="auto"/>
        <w:ind w:firstLine="540"/>
        <w:jc w:val="both"/>
      </w:pPr>
      <w:r>
        <w:rPr>
          <w:sz w:val="20"/>
        </w:rPr>
        <w:t xml:space="preserve">2.2. Заявка и документы (копии документов), указанные в </w:t>
      </w:r>
      <w:hyperlink w:history="0" w:anchor="P3416" w:tooltip="2.1. Для участия в подпрограмме 3 работодатель представляет в Департамент заявку по установленной Департаментом форме и приложенные к ней следующие документы:">
        <w:r>
          <w:rPr>
            <w:sz w:val="20"/>
            <w:color w:val="0000ff"/>
          </w:rPr>
          <w:t xml:space="preserve">пункте 2.1</w:t>
        </w:r>
      </w:hyperlink>
      <w:r>
        <w:rPr>
          <w:sz w:val="20"/>
        </w:rPr>
        <w:t xml:space="preserve"> Порядка, представляются:</w:t>
      </w:r>
    </w:p>
    <w:p>
      <w:pPr>
        <w:pStyle w:val="0"/>
        <w:spacing w:before="200" w:line-rule="auto"/>
        <w:ind w:firstLine="540"/>
        <w:jc w:val="both"/>
      </w:pPr>
      <w:r>
        <w:rPr>
          <w:sz w:val="20"/>
        </w:rPr>
        <w:t xml:space="preserve">в письменной форме непосредственно или почтовым отправлением по адресу: 628012, Ханты-Мансийский автономный округ - Югра, г. Ханты-Мансийск, ул. Карла Маркса, д. 12, каб. 31, в электронном виде на адрес электронной почты dtzn@admhmao.ru;</w:t>
      </w:r>
    </w:p>
    <w:p>
      <w:pPr>
        <w:pStyle w:val="0"/>
        <w:jc w:val="both"/>
      </w:pPr>
      <w:r>
        <w:rPr>
          <w:sz w:val="20"/>
        </w:rPr>
        <w:t xml:space="preserve">(в ред. </w:t>
      </w:r>
      <w:hyperlink w:history="0" r:id="rId48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либо в электронной форме, подписанные в соответствии с требованиями Федерального </w:t>
      </w:r>
      <w:hyperlink w:history="0" r:id="rId489"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w:t>
      </w:r>
    </w:p>
    <w:p>
      <w:pPr>
        <w:pStyle w:val="0"/>
        <w:jc w:val="both"/>
      </w:pPr>
      <w:r>
        <w:rPr>
          <w:sz w:val="20"/>
        </w:rPr>
        <w:t xml:space="preserve">(в ред. </w:t>
      </w:r>
      <w:hyperlink w:history="0" r:id="rId490"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2.3. Работодатель несет ответственность за достоверность представляемых документов и сведений, указанных в них.</w:t>
      </w:r>
    </w:p>
    <w:p>
      <w:pPr>
        <w:pStyle w:val="0"/>
        <w:spacing w:before="200" w:line-rule="auto"/>
        <w:ind w:firstLine="540"/>
        <w:jc w:val="both"/>
      </w:pPr>
      <w:r>
        <w:rPr>
          <w:sz w:val="20"/>
        </w:rPr>
        <w:t xml:space="preserve">2.4. Департамент регистрирует заявку в день ее подачи.</w:t>
      </w:r>
    </w:p>
    <w:p>
      <w:pPr>
        <w:pStyle w:val="0"/>
        <w:spacing w:before="200" w:line-rule="auto"/>
        <w:ind w:firstLine="540"/>
        <w:jc w:val="both"/>
      </w:pPr>
      <w:r>
        <w:rPr>
          <w:sz w:val="20"/>
        </w:rPr>
        <w:t xml:space="preserve">2.5. Рассмотрение заявки осуществляется в течение 30 рабочих дней с момента ее поступления.</w:t>
      </w:r>
    </w:p>
    <w:bookmarkStart w:id="3428" w:name="P3428"/>
    <w:bookmarkEnd w:id="3428"/>
    <w:p>
      <w:pPr>
        <w:pStyle w:val="0"/>
        <w:spacing w:before="200" w:line-rule="auto"/>
        <w:ind w:firstLine="540"/>
        <w:jc w:val="both"/>
      </w:pPr>
      <w:r>
        <w:rPr>
          <w:sz w:val="20"/>
        </w:rPr>
        <w:t xml:space="preserve">2.6. Отбор работодателей для включения в </w:t>
      </w:r>
      <w:hyperlink w:history="0" r:id="rId49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осуществляется в соответствии с критериями отбора:</w:t>
      </w:r>
    </w:p>
    <w:p>
      <w:pPr>
        <w:pStyle w:val="0"/>
        <w:spacing w:before="200" w:line-rule="auto"/>
        <w:ind w:firstLine="540"/>
        <w:jc w:val="both"/>
      </w:pPr>
      <w:r>
        <w:rPr>
          <w:sz w:val="20"/>
        </w:rPr>
        <w:t xml:space="preserve">2.6.1. Количество рабочих мест, утвержденных штатным расписанием работодателя, включая высокопроизводительные рабочие места, - не менее 10 единиц (не распространяется на работодателей, привлекающих работников в сельскую местность, работодателей, работники которых призваны на военную службу в Вооруженные Силы Российской Федерации по мобилизации).</w:t>
      </w:r>
    </w:p>
    <w:p>
      <w:pPr>
        <w:pStyle w:val="0"/>
        <w:jc w:val="both"/>
      </w:pPr>
      <w:r>
        <w:rPr>
          <w:sz w:val="20"/>
        </w:rPr>
        <w:t xml:space="preserve">(в ред. постановлений Правительства ХМАО - Югры от 13.05.2022 </w:t>
      </w:r>
      <w:hyperlink w:history="0" r:id="rId492"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rPr>
        <w:t xml:space="preserve">, от 18.11.2022 </w:t>
      </w:r>
      <w:hyperlink w:history="0" r:id="rId493"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609-п</w:t>
        </w:r>
      </w:hyperlink>
      <w:r>
        <w:rPr>
          <w:sz w:val="20"/>
        </w:rPr>
        <w:t xml:space="preserve">)</w:t>
      </w:r>
    </w:p>
    <w:p>
      <w:pPr>
        <w:pStyle w:val="0"/>
        <w:spacing w:before="200" w:line-rule="auto"/>
        <w:ind w:firstLine="540"/>
        <w:jc w:val="both"/>
      </w:pPr>
      <w:r>
        <w:rPr>
          <w:sz w:val="20"/>
        </w:rPr>
        <w:t xml:space="preserve">2.6.2. Рабочие места создаются либо функционирование рабочих мест осуществляется на территории автономного округа.</w:t>
      </w:r>
    </w:p>
    <w:p>
      <w:pPr>
        <w:pStyle w:val="0"/>
        <w:spacing w:before="200" w:line-rule="auto"/>
        <w:ind w:firstLine="540"/>
        <w:jc w:val="both"/>
      </w:pPr>
      <w:r>
        <w:rPr>
          <w:sz w:val="20"/>
        </w:rPr>
        <w:t xml:space="preserve">2.6.3. Для осуществления деятельности работодателя требуется привлечение трудовых ресурсов из других муниципальных образований автономного округа или субъектов Российской Федерации при условии недостаточности необходимых трудовых ресурсов на рынке труда из числа местного населения.</w:t>
      </w:r>
    </w:p>
    <w:p>
      <w:pPr>
        <w:pStyle w:val="0"/>
        <w:jc w:val="both"/>
      </w:pPr>
      <w:r>
        <w:rPr>
          <w:sz w:val="20"/>
        </w:rPr>
        <w:t xml:space="preserve">(в ред. </w:t>
      </w:r>
      <w:hyperlink w:history="0" r:id="rId49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2.6.4 - 2.6.5. Утратили силу. - </w:t>
      </w:r>
      <w:hyperlink w:history="0" r:id="rId495"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13.05.2022 N 194-п.</w:t>
      </w:r>
    </w:p>
    <w:p>
      <w:pPr>
        <w:pStyle w:val="0"/>
        <w:spacing w:before="200" w:line-rule="auto"/>
        <w:ind w:firstLine="540"/>
        <w:jc w:val="both"/>
      </w:pPr>
      <w:r>
        <w:rPr>
          <w:sz w:val="20"/>
        </w:rPr>
        <w:t xml:space="preserve">2.6.6. Работодатель осуществляет деятельность в автономном округе на момент подачи заявки более 1 года.</w:t>
      </w:r>
    </w:p>
    <w:bookmarkStart w:id="3436" w:name="P3436"/>
    <w:bookmarkEnd w:id="3436"/>
    <w:p>
      <w:pPr>
        <w:pStyle w:val="0"/>
        <w:spacing w:before="200" w:line-rule="auto"/>
        <w:ind w:firstLine="540"/>
        <w:jc w:val="both"/>
      </w:pPr>
      <w:r>
        <w:rPr>
          <w:sz w:val="20"/>
        </w:rPr>
        <w:t xml:space="preserve">2.6.7. Юридические лица не должны находиться в стадии ликвидации, реорганизации, несостоятельности (банкротства).</w:t>
      </w:r>
    </w:p>
    <w:bookmarkStart w:id="3437" w:name="P3437"/>
    <w:bookmarkEnd w:id="3437"/>
    <w:p>
      <w:pPr>
        <w:pStyle w:val="0"/>
        <w:spacing w:before="200" w:line-rule="auto"/>
        <w:ind w:firstLine="540"/>
        <w:jc w:val="both"/>
      </w:pPr>
      <w:r>
        <w:rPr>
          <w:sz w:val="20"/>
        </w:rPr>
        <w:t xml:space="preserve">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w:t>
      </w:r>
    </w:p>
    <w:bookmarkStart w:id="3438" w:name="P3438"/>
    <w:bookmarkEnd w:id="3438"/>
    <w:p>
      <w:pPr>
        <w:pStyle w:val="0"/>
        <w:spacing w:before="200" w:line-rule="auto"/>
        <w:ind w:firstLine="540"/>
        <w:jc w:val="both"/>
      </w:pPr>
      <w:r>
        <w:rPr>
          <w:sz w:val="20"/>
        </w:rPr>
        <w:t xml:space="preserve">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bookmarkStart w:id="3439" w:name="P3439"/>
    <w:bookmarkEnd w:id="3439"/>
    <w:p>
      <w:pPr>
        <w:pStyle w:val="0"/>
        <w:spacing w:before="200" w:line-rule="auto"/>
        <w:ind w:firstLine="540"/>
        <w:jc w:val="both"/>
      </w:pPr>
      <w:r>
        <w:rPr>
          <w:sz w:val="20"/>
        </w:rPr>
        <w:t xml:space="preserve">2.7. В течение 7 рабочих дней со дня регистрации заявки Департамент получает в порядке межведомственного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выписку из Единого государственного реестра индивидуальных предпринимателей;</w:t>
      </w:r>
    </w:p>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2.8. Документы и сведения, предусмотренные </w:t>
      </w:r>
      <w:hyperlink w:history="0" w:anchor="P3439" w:tooltip="2.7. В течение 7 рабочих дней со дня регистрации заявки Департамент получает в порядке межведомственного взаимодействия в соответствии с законодательством Российской Федерации:">
        <w:r>
          <w:rPr>
            <w:sz w:val="20"/>
            <w:color w:val="0000ff"/>
          </w:rPr>
          <w:t xml:space="preserve">подпунктом 2.7</w:t>
        </w:r>
      </w:hyperlink>
      <w:r>
        <w:rPr>
          <w:sz w:val="20"/>
        </w:rPr>
        <w:t xml:space="preserve"> Порядка, работодатель может представить в Департамент самостоятельно при подаче заявки.</w:t>
      </w:r>
    </w:p>
    <w:p>
      <w:pPr>
        <w:pStyle w:val="0"/>
        <w:spacing w:before="200" w:line-rule="auto"/>
        <w:ind w:firstLine="540"/>
        <w:jc w:val="both"/>
      </w:pPr>
      <w:r>
        <w:rPr>
          <w:sz w:val="20"/>
        </w:rPr>
        <w:t xml:space="preserve">2.9. В целях рассмотрения Департаментом заявки для включения/невключения работодателя в </w:t>
      </w:r>
      <w:hyperlink w:history="0" r:id="rId49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(исключения из </w:t>
      </w:r>
      <w:hyperlink w:history="0" r:id="rId49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 формируется Комиссия (далее - Комиссия) из представителей Департамента.</w:t>
      </w:r>
    </w:p>
    <w:p>
      <w:pPr>
        <w:pStyle w:val="0"/>
        <w:spacing w:before="200" w:line-rule="auto"/>
        <w:ind w:firstLine="540"/>
        <w:jc w:val="both"/>
      </w:pPr>
      <w:r>
        <w:rPr>
          <w:sz w:val="20"/>
        </w:rPr>
        <w:t xml:space="preserve">2.10. Персональный состав Комиссии и положение о ней утверждает распоряжением Департамент.</w:t>
      </w:r>
    </w:p>
    <w:p>
      <w:pPr>
        <w:pStyle w:val="0"/>
        <w:spacing w:before="200" w:line-rule="auto"/>
        <w:ind w:firstLine="540"/>
        <w:jc w:val="both"/>
      </w:pPr>
      <w:r>
        <w:rPr>
          <w:sz w:val="20"/>
        </w:rPr>
        <w:t xml:space="preserve">2.11. Комиссия:</w:t>
      </w:r>
    </w:p>
    <w:bookmarkStart w:id="3447" w:name="P3447"/>
    <w:bookmarkEnd w:id="3447"/>
    <w:p>
      <w:pPr>
        <w:pStyle w:val="0"/>
        <w:spacing w:before="200" w:line-rule="auto"/>
        <w:ind w:firstLine="540"/>
        <w:jc w:val="both"/>
      </w:pPr>
      <w:r>
        <w:rPr>
          <w:sz w:val="20"/>
        </w:rPr>
        <w:t xml:space="preserve">2.11.1. В течение 10 рабочих дней со дня регистрации заявки проверяет полноту и достоверность сведений, содержащихся в прилагаемых к ней документах.</w:t>
      </w:r>
    </w:p>
    <w:bookmarkStart w:id="3448" w:name="P3448"/>
    <w:bookmarkEnd w:id="3448"/>
    <w:p>
      <w:pPr>
        <w:pStyle w:val="0"/>
        <w:spacing w:before="200" w:line-rule="auto"/>
        <w:ind w:firstLine="540"/>
        <w:jc w:val="both"/>
      </w:pPr>
      <w:r>
        <w:rPr>
          <w:sz w:val="20"/>
        </w:rPr>
        <w:t xml:space="preserve">2.11.2. В течение 20 рабочих дней со дня истечения срока, указанного в </w:t>
      </w:r>
      <w:hyperlink w:history="0" w:anchor="P3447" w:tooltip="2.11.1. В течение 10 рабочих дней со дня регистрации заявки проверяет полноту и достоверность сведений, содержащихся в прилагаемых к ней документах.">
        <w:r>
          <w:rPr>
            <w:sz w:val="20"/>
            <w:color w:val="0000ff"/>
          </w:rPr>
          <w:t xml:space="preserve">подпункте 2.11.1 пункта 2.11</w:t>
        </w:r>
      </w:hyperlink>
      <w:r>
        <w:rPr>
          <w:sz w:val="20"/>
        </w:rPr>
        <w:t xml:space="preserve"> Порядка, учитывая критерии, установленные </w:t>
      </w:r>
      <w:hyperlink w:history="0" w:anchor="P3428" w:tooltip="2.6. Отбор работодателей для включения в подпрограмму 3 осуществляется в соответствии с критериями отбора:">
        <w:r>
          <w:rPr>
            <w:sz w:val="20"/>
            <w:color w:val="0000ff"/>
          </w:rPr>
          <w:t xml:space="preserve">пунктом 2.6</w:t>
        </w:r>
      </w:hyperlink>
      <w:r>
        <w:rPr>
          <w:sz w:val="20"/>
        </w:rPr>
        <w:t xml:space="preserve"> Порядка, принимает решение о включении/невключении работодателя в </w:t>
      </w:r>
      <w:hyperlink w:history="0" r:id="rId49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которое оформляет протоколом.</w:t>
      </w:r>
    </w:p>
    <w:bookmarkStart w:id="3449" w:name="P3449"/>
    <w:bookmarkEnd w:id="3449"/>
    <w:p>
      <w:pPr>
        <w:pStyle w:val="0"/>
        <w:spacing w:before="200" w:line-rule="auto"/>
        <w:ind w:firstLine="540"/>
        <w:jc w:val="both"/>
      </w:pPr>
      <w:r>
        <w:rPr>
          <w:sz w:val="20"/>
        </w:rPr>
        <w:t xml:space="preserve">2.11.3. В течение 3 рабочих дней со дня принятия одного из решений, указанных в </w:t>
      </w:r>
      <w:hyperlink w:history="0" w:anchor="P3448" w:tooltip="2.11.2. В течение 20 рабочих дней со дня истечения срока, указанного в подпункте 2.11.1 пункта 2.11 Порядка, учитывая критерии, установленные пунктом 2.6 Порядка, принимает решение о включении/невключении работодателя в подпрограмму 3, которое оформляет протоколом.">
        <w:r>
          <w:rPr>
            <w:sz w:val="20"/>
            <w:color w:val="0000ff"/>
          </w:rPr>
          <w:t xml:space="preserve">подпункте 2.11.2</w:t>
        </w:r>
      </w:hyperlink>
      <w:r>
        <w:rPr>
          <w:sz w:val="20"/>
        </w:rPr>
        <w:t xml:space="preserve"> Порядка, направляет работодателю почтовым отправлением с уведомлением о вручении либо по электронной почте, указанной в заявке, с подтверждением получения сообщения адресатом, уведомление о включении работодателя в </w:t>
      </w:r>
      <w:hyperlink w:history="0" r:id="rId499"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и проект соглашения о сотрудничестве в рамках реализации </w:t>
      </w:r>
      <w:hyperlink w:history="0" r:id="rId50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 форму которого утверждает Департамент, с указанием в сопроводительном письме сроков представления в Департамент подписанного соглашения, либо мотивированный отказ во включении работодателя в </w:t>
      </w:r>
      <w:hyperlink w:history="0" r:id="rId50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w:t>
      </w:r>
    </w:p>
    <w:p>
      <w:pPr>
        <w:pStyle w:val="0"/>
        <w:jc w:val="both"/>
      </w:pPr>
      <w:r>
        <w:rPr>
          <w:sz w:val="20"/>
        </w:rPr>
        <w:t xml:space="preserve">(в ред. </w:t>
      </w:r>
      <w:hyperlink w:history="0" r:id="rId502"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2.11.4. Подписанный проект соглашения, указанного в </w:t>
      </w:r>
      <w:hyperlink w:history="0" w:anchor="P3449" w:tooltip="2.11.3. В течение 3 рабочих дней со дня принятия одного из решений, указанных в подпункте 2.11.2 Порядка, направляет работодателю почтовым отправлением с уведомлением о вручении либо по электронной почте, указанной в заявке, с подтверждением получения сообщения адресатом, уведомление о включении работодателя в подпрограмму 3 и проект соглашения о сотрудничестве в рамках реализации подпрограммы 3, форму которого утверждает Департамент, с указанием в сопроводительном письме сроков представления в Департаме...">
        <w:r>
          <w:rPr>
            <w:sz w:val="20"/>
            <w:color w:val="0000ff"/>
          </w:rPr>
          <w:t xml:space="preserve">подпункте 2.11.3</w:t>
        </w:r>
      </w:hyperlink>
      <w:r>
        <w:rPr>
          <w:sz w:val="20"/>
        </w:rPr>
        <w:t xml:space="preserve"> направляется работодателем в Департамент не позднее 15 календарных дней со дня получения уведомления о включении работодателя в </w:t>
      </w:r>
      <w:hyperlink w:history="0" r:id="rId50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(в случае почтового отправления днем получения уведомления считается дата, указанная на штампе почтового отделения по месту нахождения работодателя).</w:t>
      </w:r>
    </w:p>
    <w:p>
      <w:pPr>
        <w:pStyle w:val="0"/>
        <w:spacing w:before="200" w:line-rule="auto"/>
        <w:ind w:firstLine="540"/>
        <w:jc w:val="both"/>
      </w:pPr>
      <w:r>
        <w:rPr>
          <w:sz w:val="20"/>
        </w:rPr>
        <w:t xml:space="preserve">2.11.5. В случае непредставления в установленные сроки подписанного соглашения работодатель считается отказавшимся от включения в </w:t>
      </w:r>
      <w:hyperlink w:history="0" r:id="rId50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w:t>
      </w:r>
    </w:p>
    <w:p>
      <w:pPr>
        <w:pStyle w:val="0"/>
        <w:spacing w:before="200" w:line-rule="auto"/>
        <w:ind w:firstLine="540"/>
        <w:jc w:val="both"/>
      </w:pPr>
      <w:r>
        <w:rPr>
          <w:sz w:val="20"/>
        </w:rPr>
        <w:t xml:space="preserve">2.11.6. В случае принятия Комиссией решения об отказе работодателю во включении в Подпрограмму он вправе повторно подать заявку, в случае устранения замечаний, послуживших причиной отказа.</w:t>
      </w:r>
    </w:p>
    <w:p>
      <w:pPr>
        <w:pStyle w:val="0"/>
        <w:jc w:val="both"/>
      </w:pPr>
      <w:r>
        <w:rPr>
          <w:sz w:val="20"/>
        </w:rPr>
        <w:t xml:space="preserve">(пп. 2.11.6 введен </w:t>
      </w:r>
      <w:hyperlink w:history="0" r:id="rId505"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2.12. Основаниями для отказа во включении работодателя в </w:t>
      </w:r>
      <w:hyperlink w:history="0" r:id="rId50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являются:</w:t>
      </w:r>
    </w:p>
    <w:p>
      <w:pPr>
        <w:pStyle w:val="0"/>
        <w:spacing w:before="200" w:line-rule="auto"/>
        <w:ind w:firstLine="540"/>
        <w:jc w:val="both"/>
      </w:pPr>
      <w:r>
        <w:rPr>
          <w:sz w:val="20"/>
        </w:rPr>
        <w:t xml:space="preserve">2.12.1. Несоответствие работодателя критериям, установленным </w:t>
      </w:r>
      <w:hyperlink w:history="0" w:anchor="P3428" w:tooltip="2.6. Отбор работодателей для включения в подпрограмму 3 осуществляется в соответствии с критериями отбора:">
        <w:r>
          <w:rPr>
            <w:sz w:val="20"/>
            <w:color w:val="0000ff"/>
          </w:rPr>
          <w:t xml:space="preserve">пунктом 2.6</w:t>
        </w:r>
      </w:hyperlink>
      <w:r>
        <w:rPr>
          <w:sz w:val="20"/>
        </w:rPr>
        <w:t xml:space="preserve"> Порядка.</w:t>
      </w:r>
    </w:p>
    <w:p>
      <w:pPr>
        <w:pStyle w:val="0"/>
        <w:spacing w:before="200" w:line-rule="auto"/>
        <w:ind w:firstLine="540"/>
        <w:jc w:val="both"/>
      </w:pPr>
      <w:r>
        <w:rPr>
          <w:sz w:val="20"/>
        </w:rPr>
        <w:t xml:space="preserve">2.12.2. Предоставление ложной информации или недостоверных сведений, документов, предусмотренных </w:t>
      </w:r>
      <w:hyperlink w:history="0" w:anchor="P3416" w:tooltip="2.1. Для участия в подпрограмме 3 работодатель представляет в Департамент заявку по установленной Департаментом форме и приложенные к ней следующие документы:">
        <w:r>
          <w:rPr>
            <w:sz w:val="20"/>
            <w:color w:val="0000ff"/>
          </w:rPr>
          <w:t xml:space="preserve">пунктом 2.1</w:t>
        </w:r>
      </w:hyperlink>
      <w:r>
        <w:rPr>
          <w:sz w:val="20"/>
        </w:rPr>
        <w:t xml:space="preserve"> Порядка;</w:t>
      </w:r>
    </w:p>
    <w:p>
      <w:pPr>
        <w:pStyle w:val="0"/>
        <w:spacing w:before="200" w:line-rule="auto"/>
        <w:ind w:firstLine="540"/>
        <w:jc w:val="both"/>
      </w:pPr>
      <w:r>
        <w:rPr>
          <w:sz w:val="20"/>
        </w:rPr>
        <w:t xml:space="preserve">2.12.3. Предоставление документов после срока, предусмотренного </w:t>
      </w:r>
      <w:hyperlink w:history="0" w:anchor="P3420" w:tooltip="2.2. Заявка и документы (копии документов), указанные в пункте 2.1 Порядка, представляются:">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2.12.4. Нахождение в процессе реорганизации, ликвидации, в отношении его введена процедура банкротства, деятельность работодателя приостановлена в порядке, предусмотренном законодательством Российской Федерации (для работодателей из числа юридических лиц).</w:t>
      </w:r>
    </w:p>
    <w:p>
      <w:pPr>
        <w:pStyle w:val="0"/>
        <w:spacing w:before="200" w:line-rule="auto"/>
        <w:ind w:firstLine="540"/>
        <w:jc w:val="both"/>
      </w:pPr>
      <w:r>
        <w:rPr>
          <w:sz w:val="20"/>
        </w:rPr>
        <w:t xml:space="preserve">2.12.5.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pPr>
        <w:pStyle w:val="0"/>
        <w:spacing w:before="200" w:line-rule="auto"/>
        <w:ind w:firstLine="540"/>
        <w:jc w:val="both"/>
      </w:pPr>
      <w:r>
        <w:rPr>
          <w:sz w:val="20"/>
        </w:rPr>
        <w:t xml:space="preserve">2.12.6.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pPr>
        <w:pStyle w:val="0"/>
        <w:spacing w:before="200" w:line-rule="auto"/>
        <w:ind w:firstLine="540"/>
        <w:jc w:val="both"/>
      </w:pPr>
      <w:r>
        <w:rPr>
          <w:sz w:val="20"/>
        </w:rPr>
        <w:t xml:space="preserve">2.13. Комиссия ежегодно не позднее 1 февраля года, следующего за годом включения работодателя в </w:t>
      </w:r>
      <w:hyperlink w:history="0" r:id="rId50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проводит проверку соответствия работодателя, включенного в </w:t>
      </w:r>
      <w:hyperlink w:history="0" r:id="rId50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критериям, установленным </w:t>
      </w:r>
      <w:hyperlink w:history="0" w:anchor="P3436" w:tooltip="2.6.7. Юридические лица не должны находиться в стадии ликвидации, реорганизации, несостоятельности (банкротства).">
        <w:r>
          <w:rPr>
            <w:sz w:val="20"/>
            <w:color w:val="0000ff"/>
          </w:rPr>
          <w:t xml:space="preserve">подпунктами 2.6.7</w:t>
        </w:r>
      </w:hyperlink>
      <w:r>
        <w:rPr>
          <w:sz w:val="20"/>
        </w:rPr>
        <w:t xml:space="preserve">, </w:t>
      </w:r>
      <w:hyperlink w:history="0" w:anchor="P3437" w:tooltip="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
        <w:r>
          <w:rPr>
            <w:sz w:val="20"/>
            <w:color w:val="0000ff"/>
          </w:rPr>
          <w:t xml:space="preserve">2.6.8</w:t>
        </w:r>
      </w:hyperlink>
      <w:r>
        <w:rPr>
          <w:sz w:val="20"/>
        </w:rPr>
        <w:t xml:space="preserve">, </w:t>
      </w:r>
      <w:hyperlink w:history="0" w:anchor="P3438" w:tooltip="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
        <w:r>
          <w:rPr>
            <w:sz w:val="20"/>
            <w:color w:val="0000ff"/>
          </w:rPr>
          <w:t xml:space="preserve">2.6.9 пункта 2.6</w:t>
        </w:r>
      </w:hyperlink>
      <w:r>
        <w:rPr>
          <w:sz w:val="20"/>
        </w:rPr>
        <w:t xml:space="preserve"> Порядка, а также проверку соблюдения работодателем условий, установленных соглашением о сотрудничестве в рамках реализации </w:t>
      </w:r>
      <w:hyperlink w:history="0" r:id="rId509"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w:t>
      </w:r>
    </w:p>
    <w:bookmarkStart w:id="3463" w:name="P3463"/>
    <w:bookmarkEnd w:id="3463"/>
    <w:p>
      <w:pPr>
        <w:pStyle w:val="0"/>
        <w:spacing w:before="200" w:line-rule="auto"/>
        <w:ind w:firstLine="540"/>
        <w:jc w:val="both"/>
      </w:pPr>
      <w:r>
        <w:rPr>
          <w:sz w:val="20"/>
        </w:rPr>
        <w:t xml:space="preserve">2.14. В целях проверки соответствия работодателя, включенного в </w:t>
      </w:r>
      <w:hyperlink w:history="0" r:id="rId51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критериям, установленным </w:t>
      </w:r>
      <w:hyperlink w:history="0" w:anchor="P3436" w:tooltip="2.6.7. Юридические лица не должны находиться в стадии ликвидации, реорганизации, несостоятельности (банкротства).">
        <w:r>
          <w:rPr>
            <w:sz w:val="20"/>
            <w:color w:val="0000ff"/>
          </w:rPr>
          <w:t xml:space="preserve">подпунктами 2.6.7</w:t>
        </w:r>
      </w:hyperlink>
      <w:r>
        <w:rPr>
          <w:sz w:val="20"/>
        </w:rPr>
        <w:t xml:space="preserve">, </w:t>
      </w:r>
      <w:hyperlink w:history="0" w:anchor="P3437" w:tooltip="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
        <w:r>
          <w:rPr>
            <w:sz w:val="20"/>
            <w:color w:val="0000ff"/>
          </w:rPr>
          <w:t xml:space="preserve">2.6.8</w:t>
        </w:r>
      </w:hyperlink>
      <w:r>
        <w:rPr>
          <w:sz w:val="20"/>
        </w:rPr>
        <w:t xml:space="preserve">, </w:t>
      </w:r>
      <w:hyperlink w:history="0" w:anchor="P3438" w:tooltip="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
        <w:r>
          <w:rPr>
            <w:sz w:val="20"/>
            <w:color w:val="0000ff"/>
          </w:rPr>
          <w:t xml:space="preserve">2.6.9 пункта 2.6</w:t>
        </w:r>
      </w:hyperlink>
      <w:r>
        <w:rPr>
          <w:sz w:val="20"/>
        </w:rPr>
        <w:t xml:space="preserve"> Порядка, Департамент ежегодно, не позднее 20 января, получает в порядке межведомственного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выписку из Единого государственного реестра юридических лиц;</w:t>
      </w:r>
    </w:p>
    <w:p>
      <w:pPr>
        <w:pStyle w:val="0"/>
        <w:spacing w:before="200" w:line-rule="auto"/>
        <w:ind w:firstLine="540"/>
        <w:jc w:val="both"/>
      </w:pPr>
      <w:r>
        <w:rPr>
          <w:sz w:val="20"/>
        </w:rPr>
        <w:t xml:space="preserve">выписку из Единого государственного реестра индивидуальных предпринимателей;</w:t>
      </w:r>
    </w:p>
    <w:p>
      <w:pPr>
        <w:pStyle w:val="0"/>
        <w:spacing w:before="200" w:line-rule="auto"/>
        <w:ind w:firstLine="540"/>
        <w:jc w:val="both"/>
      </w:pPr>
      <w:r>
        <w:rPr>
          <w:sz w:val="20"/>
        </w:rPr>
        <w:t xml:space="preserve">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3467" w:name="P3467"/>
    <w:bookmarkEnd w:id="3467"/>
    <w:p>
      <w:pPr>
        <w:pStyle w:val="0"/>
        <w:spacing w:before="200" w:line-rule="auto"/>
        <w:ind w:firstLine="540"/>
        <w:jc w:val="both"/>
      </w:pPr>
      <w:r>
        <w:rPr>
          <w:sz w:val="20"/>
        </w:rPr>
        <w:t xml:space="preserve">2.15. Документы и сведения, предусмотренные </w:t>
      </w:r>
      <w:hyperlink w:history="0" w:anchor="P3463" w:tooltip="2.14. В целях проверки соответствия работодателя, включенного в подпрограмму 3, критериям, установленным подпунктами 2.6.7, 2.6.8, 2.6.9 пункта 2.6 Порядка, Департамент ежегодно, не позднее 20 января, получает в порядке межведомственного взаимодействия в соответствии с законодательством Российской Федерации:">
        <w:r>
          <w:rPr>
            <w:sz w:val="20"/>
            <w:color w:val="0000ff"/>
          </w:rPr>
          <w:t xml:space="preserve">пунктом 2.14</w:t>
        </w:r>
      </w:hyperlink>
      <w:r>
        <w:rPr>
          <w:sz w:val="20"/>
        </w:rPr>
        <w:t xml:space="preserve"> Порядка, работодатель может представить в Департамент самостоятельно ежегодно, не позднее 20 января.</w:t>
      </w:r>
    </w:p>
    <w:p>
      <w:pPr>
        <w:pStyle w:val="0"/>
        <w:spacing w:before="200" w:line-rule="auto"/>
        <w:ind w:firstLine="540"/>
        <w:jc w:val="both"/>
      </w:pPr>
      <w:r>
        <w:rPr>
          <w:sz w:val="20"/>
        </w:rPr>
        <w:t xml:space="preserve">2.16. В случае несоответствия работодателя, включенного в </w:t>
      </w:r>
      <w:hyperlink w:history="0" r:id="rId51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критериям, установленным </w:t>
      </w:r>
      <w:hyperlink w:history="0" w:anchor="P3436" w:tooltip="2.6.7. Юридические лица не должны находиться в стадии ликвидации, реорганизации, несостоятельности (банкротства).">
        <w:r>
          <w:rPr>
            <w:sz w:val="20"/>
            <w:color w:val="0000ff"/>
          </w:rPr>
          <w:t xml:space="preserve">подпунктами 2.6.7</w:t>
        </w:r>
      </w:hyperlink>
      <w:r>
        <w:rPr>
          <w:sz w:val="20"/>
        </w:rPr>
        <w:t xml:space="preserve">, </w:t>
      </w:r>
      <w:hyperlink w:history="0" w:anchor="P3437" w:tooltip="2.6.8. Индивидуальные предприниматели, главы крестьянских (фермерских) хозяйств не должны прекратить деятельность в качестве индивидуального предпринимателя, главы крестьянского (фермерского) хозяйства.">
        <w:r>
          <w:rPr>
            <w:sz w:val="20"/>
            <w:color w:val="0000ff"/>
          </w:rPr>
          <w:t xml:space="preserve">2.6.8</w:t>
        </w:r>
      </w:hyperlink>
      <w:r>
        <w:rPr>
          <w:sz w:val="20"/>
        </w:rPr>
        <w:t xml:space="preserve">, </w:t>
      </w:r>
      <w:hyperlink w:history="0" w:anchor="P3438" w:tooltip="2.6.9.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
        <w:r>
          <w:rPr>
            <w:sz w:val="20"/>
            <w:color w:val="0000ff"/>
          </w:rPr>
          <w:t xml:space="preserve">2.6.9 пункта 2.6</w:t>
        </w:r>
      </w:hyperlink>
      <w:r>
        <w:rPr>
          <w:sz w:val="20"/>
        </w:rPr>
        <w:t xml:space="preserve"> Порядка, а также условиям, установленным соглашением о сотрудничестве в рамках реализации </w:t>
      </w:r>
      <w:hyperlink w:history="0" r:id="rId51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 Комиссия:</w:t>
      </w:r>
    </w:p>
    <w:bookmarkStart w:id="3469" w:name="P3469"/>
    <w:bookmarkEnd w:id="3469"/>
    <w:p>
      <w:pPr>
        <w:pStyle w:val="0"/>
        <w:spacing w:before="200" w:line-rule="auto"/>
        <w:ind w:firstLine="540"/>
        <w:jc w:val="both"/>
      </w:pPr>
      <w:r>
        <w:rPr>
          <w:sz w:val="20"/>
        </w:rPr>
        <w:t xml:space="preserve">2.16.1. В течение 5 рабочих дней со дня истечения срока, указанного в </w:t>
      </w:r>
      <w:hyperlink w:history="0" w:anchor="P3467" w:tooltip="2.15. Документы и сведения, предусмотренные пунктом 2.14 Порядка, работодатель может представить в Департамент самостоятельно ежегодно, не позднее 20 января.">
        <w:r>
          <w:rPr>
            <w:sz w:val="20"/>
            <w:color w:val="0000ff"/>
          </w:rPr>
          <w:t xml:space="preserve">пункте 2.15</w:t>
        </w:r>
      </w:hyperlink>
      <w:r>
        <w:rPr>
          <w:sz w:val="20"/>
        </w:rPr>
        <w:t xml:space="preserve"> Порядка, принимает одно из решений: о продолжении участия работодателя в </w:t>
      </w:r>
      <w:hyperlink w:history="0" r:id="rId51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подпрограмме 3</w:t>
        </w:r>
      </w:hyperlink>
      <w:r>
        <w:rPr>
          <w:sz w:val="20"/>
        </w:rPr>
        <w:t xml:space="preserve"> либо исключения работодателя из </w:t>
      </w:r>
      <w:hyperlink w:history="0" r:id="rId51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 по основаниям, предусмотренным </w:t>
      </w:r>
      <w:hyperlink w:history="0" w:anchor="P3471" w:tooltip="2.17. Основаниями для исключения работодателя из подпрограммы 3 являются:">
        <w:r>
          <w:rPr>
            <w:sz w:val="20"/>
            <w:color w:val="0000ff"/>
          </w:rPr>
          <w:t xml:space="preserve">пунктом 2.17</w:t>
        </w:r>
      </w:hyperlink>
      <w:r>
        <w:rPr>
          <w:sz w:val="20"/>
        </w:rPr>
        <w:t xml:space="preserve"> Порядка, которое оформляется протоколом.</w:t>
      </w:r>
    </w:p>
    <w:p>
      <w:pPr>
        <w:pStyle w:val="0"/>
        <w:spacing w:before="200" w:line-rule="auto"/>
        <w:ind w:firstLine="540"/>
        <w:jc w:val="both"/>
      </w:pPr>
      <w:r>
        <w:rPr>
          <w:sz w:val="20"/>
        </w:rPr>
        <w:t xml:space="preserve">2.16.2. В течение 3 рабочих дней со дня принятия одного из решений, указанных в </w:t>
      </w:r>
      <w:hyperlink w:history="0" w:anchor="P3469" w:tooltip="2.16.1. В течение 5 рабочих дней со дня истечения срока, указанного в пункте 2.15 Порядка, принимает одно из решений: о продолжении участия работодателя в подпрограмме 3 либо исключения работодателя из подпрограммы 3 по основаниям, предусмотренным пунктом 2.17 Порядка, которое оформляется протоколом.">
        <w:r>
          <w:rPr>
            <w:sz w:val="20"/>
            <w:color w:val="0000ff"/>
          </w:rPr>
          <w:t xml:space="preserve">подпункте 2.16.1</w:t>
        </w:r>
      </w:hyperlink>
      <w:r>
        <w:rPr>
          <w:sz w:val="20"/>
        </w:rPr>
        <w:t xml:space="preserve"> Порядка, Департамент направляет работодателю уведомление о принятом решении.</w:t>
      </w:r>
    </w:p>
    <w:bookmarkStart w:id="3471" w:name="P3471"/>
    <w:bookmarkEnd w:id="3471"/>
    <w:p>
      <w:pPr>
        <w:pStyle w:val="0"/>
        <w:spacing w:before="200" w:line-rule="auto"/>
        <w:ind w:firstLine="540"/>
        <w:jc w:val="both"/>
      </w:pPr>
      <w:r>
        <w:rPr>
          <w:sz w:val="20"/>
        </w:rPr>
        <w:t xml:space="preserve">2.17. Основаниями для исключения работодателя из </w:t>
      </w:r>
      <w:hyperlink w:history="0" r:id="rId51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 являются:</w:t>
      </w:r>
    </w:p>
    <w:p>
      <w:pPr>
        <w:pStyle w:val="0"/>
        <w:spacing w:before="200" w:line-rule="auto"/>
        <w:ind w:firstLine="540"/>
        <w:jc w:val="both"/>
      </w:pPr>
      <w:r>
        <w:rPr>
          <w:sz w:val="20"/>
        </w:rPr>
        <w:t xml:space="preserve">2.17.1. Несоблюдение работодателем условий, установленных соглашением о сотрудничестве в рамках реализации </w:t>
      </w:r>
      <w:hyperlink w:history="0" r:id="rId51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w:t>
      </w:r>
    </w:p>
    <w:p>
      <w:pPr>
        <w:pStyle w:val="0"/>
        <w:spacing w:before="200" w:line-rule="auto"/>
        <w:ind w:firstLine="540"/>
        <w:jc w:val="both"/>
      </w:pPr>
      <w:r>
        <w:rPr>
          <w:sz w:val="20"/>
        </w:rPr>
        <w:t xml:space="preserve">2.17.2. Предоставление ложной информации или недостоверных сведений, документов.</w:t>
      </w:r>
    </w:p>
    <w:p>
      <w:pPr>
        <w:pStyle w:val="0"/>
        <w:spacing w:before="200" w:line-rule="auto"/>
        <w:ind w:firstLine="540"/>
        <w:jc w:val="both"/>
      </w:pPr>
      <w:r>
        <w:rPr>
          <w:sz w:val="20"/>
        </w:rPr>
        <w:t xml:space="preserve">2.17.3. Нахождение в процессе реорганизации, ликвидации, в отношении его введена процедура банкротства, деятельность работодателя приостановлена в порядке, предусмотренном законодательством Российской Федерации (для работодателей из числа юридических лиц).</w:t>
      </w:r>
    </w:p>
    <w:p>
      <w:pPr>
        <w:pStyle w:val="0"/>
        <w:spacing w:before="200" w:line-rule="auto"/>
        <w:ind w:firstLine="540"/>
        <w:jc w:val="both"/>
      </w:pPr>
      <w:r>
        <w:rPr>
          <w:sz w:val="20"/>
        </w:rPr>
        <w:t xml:space="preserve">2.17.4. Прекращение деятельности в качестве индивидуального предпринимателя, главы крестьянского (фермерского) хозяйства (для работодателей из числа индивидуальных предпринимателей, глав крестьянских (фермерских) хозяйств).</w:t>
      </w:r>
    </w:p>
    <w:p>
      <w:pPr>
        <w:pStyle w:val="0"/>
        <w:spacing w:before="200" w:line-rule="auto"/>
        <w:ind w:firstLine="540"/>
        <w:jc w:val="both"/>
      </w:pPr>
      <w:r>
        <w:rPr>
          <w:sz w:val="20"/>
        </w:rPr>
        <w:t xml:space="preserve">2.17.5.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данным бухгалтерской отчетности за последний завершенный отчетный период.</w:t>
      </w:r>
    </w:p>
    <w:p>
      <w:pPr>
        <w:pStyle w:val="0"/>
        <w:spacing w:before="200" w:line-rule="auto"/>
        <w:ind w:firstLine="540"/>
        <w:jc w:val="both"/>
      </w:pPr>
      <w:r>
        <w:rPr>
          <w:sz w:val="20"/>
        </w:rPr>
        <w:t xml:space="preserve">2.17.6. Письменное обращение работодателя об исключении его из </w:t>
      </w:r>
      <w:hyperlink w:history="0" r:id="rId51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Подпрограммы 3</w:t>
        </w:r>
      </w:hyperlink>
      <w:r>
        <w:rPr>
          <w:sz w:val="20"/>
        </w:rPr>
        <w:t xml:space="preserve">.</w:t>
      </w:r>
    </w:p>
    <w:p>
      <w:pPr>
        <w:pStyle w:val="0"/>
        <w:jc w:val="both"/>
      </w:pPr>
      <w:r>
        <w:rPr>
          <w:sz w:val="20"/>
        </w:rPr>
        <w:t xml:space="preserve">(пп. 2.17.6 введен </w:t>
      </w:r>
      <w:hyperlink w:history="0" r:id="rId51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2.18. Утратил силу. - </w:t>
      </w:r>
      <w:hyperlink w:history="0" r:id="rId51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13.05.2022 N 194-п.</w:t>
      </w:r>
    </w:p>
    <w:p>
      <w:pPr>
        <w:pStyle w:val="0"/>
        <w:jc w:val="both"/>
      </w:pPr>
      <w:r>
        <w:rPr>
          <w:sz w:val="20"/>
        </w:rPr>
      </w:r>
    </w:p>
    <w:p>
      <w:pPr>
        <w:pStyle w:val="2"/>
        <w:outlineLvl w:val="1"/>
        <w:jc w:val="center"/>
      </w:pPr>
      <w:r>
        <w:rPr>
          <w:sz w:val="20"/>
        </w:rPr>
        <w:t xml:space="preserve">III. ПОРЯДОК ПОДБОРА ГРАЖДАН ДЛЯ ТРУДОУСТРОЙСТВА</w:t>
      </w:r>
    </w:p>
    <w:p>
      <w:pPr>
        <w:pStyle w:val="2"/>
        <w:jc w:val="center"/>
      </w:pPr>
      <w:r>
        <w:rPr>
          <w:sz w:val="20"/>
        </w:rPr>
        <w:t xml:space="preserve">У РАБОТОДАТЕЛЯ, ВКЛЮЧЕННОГО В ПОДПРОГРАММУ 3</w:t>
      </w:r>
    </w:p>
    <w:p>
      <w:pPr>
        <w:pStyle w:val="0"/>
        <w:jc w:val="both"/>
      </w:pPr>
      <w:r>
        <w:rPr>
          <w:sz w:val="20"/>
        </w:rPr>
      </w:r>
    </w:p>
    <w:p>
      <w:pPr>
        <w:pStyle w:val="0"/>
        <w:ind w:firstLine="540"/>
        <w:jc w:val="both"/>
      </w:pPr>
      <w:r>
        <w:rPr>
          <w:sz w:val="20"/>
        </w:rPr>
        <w:t xml:space="preserve">3.1. Обеспечение потребности в трудовых ресурсах работодателя, включенного в </w:t>
      </w:r>
      <w:hyperlink w:history="0" r:id="rId52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осуществляется путем подбора граждан в соответствии с заявленной работодателем профессионально-квалификационной структурой требуемых трудовых ресурсов из числа граждан, зарегистрированных в установленном законодательством Российской Федерации порядке в центрах занятости населения автономного округа;</w:t>
      </w:r>
    </w:p>
    <w:p>
      <w:pPr>
        <w:pStyle w:val="0"/>
        <w:jc w:val="both"/>
      </w:pPr>
      <w:r>
        <w:rPr>
          <w:sz w:val="20"/>
        </w:rPr>
        <w:t xml:space="preserve">(в ред. </w:t>
      </w:r>
      <w:hyperlink w:history="0" r:id="rId521"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p>
      <w:pPr>
        <w:pStyle w:val="0"/>
        <w:spacing w:before="200" w:line-rule="auto"/>
        <w:ind w:firstLine="540"/>
        <w:jc w:val="both"/>
      </w:pPr>
      <w:r>
        <w:rPr>
          <w:sz w:val="20"/>
        </w:rPr>
        <w:t xml:space="preserve">подбора граждан из числа квалифицированных специалистов других субъектов Российской Федерации, в том числе являющихся трудоизбыточными, за исключением субъектов Российской Федерации, привлечение трудовых ресурсов в которые является приоритетным в соответствии с утвержденным распоряжением Правительства Российской Федерации от 20 апреля 2015 года N 696-р </w:t>
      </w:r>
      <w:hyperlink w:history="0" r:id="rId522" w:tooltip="Распоряжение Правительства РФ от 20.04.2015 N 696-р (ред. от 09.06.2022) &lt;Об утверждении перечня субъектов Российской Федерации, привлечение трудовых ресурсов в которые является приоритетным&gt; {КонсультантПлюс}">
        <w:r>
          <w:rPr>
            <w:sz w:val="20"/>
            <w:color w:val="0000ff"/>
          </w:rPr>
          <w:t xml:space="preserve">перечнем</w:t>
        </w:r>
      </w:hyperlink>
      <w:r>
        <w:rPr>
          <w:sz w:val="20"/>
        </w:rPr>
        <w:t xml:space="preserve"> субъектов Российской Федерации.</w:t>
      </w:r>
    </w:p>
    <w:p>
      <w:pPr>
        <w:pStyle w:val="0"/>
        <w:spacing w:before="200" w:line-rule="auto"/>
        <w:ind w:firstLine="540"/>
        <w:jc w:val="both"/>
      </w:pPr>
      <w:r>
        <w:rPr>
          <w:sz w:val="20"/>
        </w:rPr>
        <w:t xml:space="preserve">3.2. Работодатель, включенный в </w:t>
      </w:r>
      <w:hyperlink w:history="0" r:id="rId52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представляет в центр занятости населения по месту осуществления своей деятельности профессионально-квалификационный состав требуемых специалистов, список граждан, самостоятельно отобранных для направления на профобучение с целью их дальнейшего трудоустройства (при наличии таких граждан).</w:t>
      </w:r>
    </w:p>
    <w:p>
      <w:pPr>
        <w:pStyle w:val="0"/>
        <w:spacing w:before="200" w:line-rule="auto"/>
        <w:ind w:firstLine="540"/>
        <w:jc w:val="both"/>
      </w:pPr>
      <w:r>
        <w:rPr>
          <w:sz w:val="20"/>
        </w:rPr>
        <w:t xml:space="preserve">3.3. Центр занятости населения в соответствии с заявленной работодателем профессионально-квалификационной потребностью осуществляет подбор из числа граждан, зарегистрированных в установленном законодательством Российской Федерации порядке в центре занятости населения по месту осуществления работодателем своей деятельности, либо взаимодействует с центрами занятости населения других муниципальных образований автономного округа по вопросу подбора требуемых квалифицированных специалистов.</w:t>
      </w:r>
    </w:p>
    <w:p>
      <w:pPr>
        <w:pStyle w:val="0"/>
        <w:jc w:val="both"/>
      </w:pPr>
      <w:r>
        <w:rPr>
          <w:sz w:val="20"/>
        </w:rPr>
        <w:t xml:space="preserve">(в ред. </w:t>
      </w:r>
      <w:hyperlink w:history="0" r:id="rId524"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p>
      <w:pPr>
        <w:pStyle w:val="0"/>
        <w:spacing w:before="200" w:line-rule="auto"/>
        <w:ind w:firstLine="540"/>
        <w:jc w:val="both"/>
      </w:pPr>
      <w:r>
        <w:rPr>
          <w:sz w:val="20"/>
        </w:rPr>
        <w:t xml:space="preserve">3.4. После завершения подбора граждан для трудоустройства у работодателя, включенного в </w:t>
      </w:r>
      <w:hyperlink w:history="0" r:id="rId52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центр занятости населения формирует их список с указанием профессий (специальности), стажа работы и последних мест работы, контактной информации и направляет его работодателю для утверждения.</w:t>
      </w:r>
    </w:p>
    <w:p>
      <w:pPr>
        <w:pStyle w:val="0"/>
        <w:spacing w:before="200" w:line-rule="auto"/>
        <w:ind w:firstLine="540"/>
        <w:jc w:val="both"/>
      </w:pPr>
      <w:r>
        <w:rPr>
          <w:sz w:val="20"/>
        </w:rPr>
        <w:t xml:space="preserve">Работодатель в течение 5 рабочих дней рассматривает поступивший запрос и направляет в центр занятости населения по месту предполагаемого привлечения работников письменное согласие либо мотивированный отказ в трудоустройстве претендентов на рабочие места, указанных в списке.</w:t>
      </w:r>
    </w:p>
    <w:p>
      <w:pPr>
        <w:pStyle w:val="0"/>
        <w:jc w:val="both"/>
      </w:pPr>
      <w:r>
        <w:rPr>
          <w:sz w:val="20"/>
        </w:rPr>
        <w:t xml:space="preserve">(абзац введен </w:t>
      </w:r>
      <w:hyperlink w:history="0" r:id="rId52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В случае получения согласия работодателя на трудоустройство гражданина, проживающего за пределами места предполагаемого привлечения работников, центр занятости населения и работодатель подписывают трехсторонний договор о намерениях трудоустройства гражданина (далее - трехсторонний договор) и направляют его в адрес гражданина для подписания.</w:t>
      </w:r>
    </w:p>
    <w:p>
      <w:pPr>
        <w:pStyle w:val="0"/>
        <w:jc w:val="both"/>
      </w:pPr>
      <w:r>
        <w:rPr>
          <w:sz w:val="20"/>
        </w:rPr>
        <w:t xml:space="preserve">(абзац введен </w:t>
      </w:r>
      <w:hyperlink w:history="0" r:id="rId527"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Форму трехстороннего договора разрабатывает и утверждает Департамент.</w:t>
      </w:r>
    </w:p>
    <w:p>
      <w:pPr>
        <w:pStyle w:val="0"/>
        <w:jc w:val="both"/>
      </w:pPr>
      <w:r>
        <w:rPr>
          <w:sz w:val="20"/>
        </w:rPr>
        <w:t xml:space="preserve">(абзац введен </w:t>
      </w:r>
      <w:hyperlink w:history="0" r:id="rId52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3.5. Работодатель заключает с гражданином, соответствующим требованиям для трудоустройства, трудовой договор (на неопределенный срок, либо продолжительностью не менее 2 лет), с указанием предоставления мер социальной поддержки, включая размер оплаты труда, иных выплат, а также условия и порядок возврата бюджетных средств, израсходованных на профобучение гражданина в случае расторжения трудового договора по инициативе гражданина без уважительной причины до истечении 1 года с даты трудоустройства.</w:t>
      </w:r>
    </w:p>
    <w:p>
      <w:pPr>
        <w:pStyle w:val="0"/>
        <w:spacing w:before="200" w:line-rule="auto"/>
        <w:ind w:firstLine="540"/>
        <w:jc w:val="both"/>
      </w:pPr>
      <w:r>
        <w:rPr>
          <w:sz w:val="20"/>
        </w:rPr>
        <w:t xml:space="preserve">3.6. Об отказе гражданина, заключившего трудовой договор осуществлять трудовую деятельность у работодателя, включенного в </w:t>
      </w:r>
      <w:hyperlink w:history="0" r:id="rId529"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работодатель уведомляет центр занятости населения для подбора нового гражданина.</w:t>
      </w:r>
    </w:p>
    <w:p>
      <w:pPr>
        <w:pStyle w:val="0"/>
        <w:spacing w:before="200" w:line-rule="auto"/>
        <w:ind w:firstLine="540"/>
        <w:jc w:val="both"/>
      </w:pPr>
      <w:r>
        <w:rPr>
          <w:sz w:val="20"/>
        </w:rPr>
        <w:t xml:space="preserve">3.7. Подбор граждан, проживающих в других субъектах Российской Федерации, для трудоустройства у работодателя, включенного в подпрограмму 3, осуществляет центр занятости населения путем взаимодействия с органами службы занятости населения субъектов Российской Федерации в порядке и на условиях, предусмотренных заключенными с ними соглашениями.</w:t>
      </w:r>
    </w:p>
    <w:p>
      <w:pPr>
        <w:pStyle w:val="0"/>
        <w:spacing w:before="200" w:line-rule="auto"/>
        <w:ind w:firstLine="540"/>
        <w:jc w:val="both"/>
      </w:pPr>
      <w:r>
        <w:rPr>
          <w:sz w:val="20"/>
        </w:rPr>
        <w:t xml:space="preserve">3.8. Гражданину, соответствующему профессионально-квалификационным требованиям для трудоустройства у работодателя, включенного в </w:t>
      </w:r>
      <w:hyperlink w:history="0" r:id="rId53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и переехавшему к месту трудоустройства, производится выплата из средств бюджета автономного округа мер государственной поддержки.</w:t>
      </w:r>
    </w:p>
    <w:p>
      <w:pPr>
        <w:pStyle w:val="0"/>
        <w:jc w:val="both"/>
      </w:pPr>
      <w:r>
        <w:rPr>
          <w:sz w:val="20"/>
        </w:rPr>
        <w:t xml:space="preserve">(в ред. </w:t>
      </w:r>
      <w:hyperlink w:history="0" r:id="rId53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3.9. Отбор организаций, осуществляющих образовательную деятельность, для организации профобучения граждан осуществляет центр занятости населения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r>
    </w:p>
    <w:p>
      <w:pPr>
        <w:pStyle w:val="2"/>
        <w:outlineLvl w:val="1"/>
        <w:jc w:val="center"/>
      </w:pPr>
      <w:r>
        <w:rPr>
          <w:sz w:val="20"/>
        </w:rPr>
        <w:t xml:space="preserve">IV. ПОРЯДОК ОРГАНИЗАЦИИ ПРОФОБУЧЕНИЯ ГРАЖДАН</w:t>
      </w:r>
    </w:p>
    <w:p>
      <w:pPr>
        <w:pStyle w:val="0"/>
        <w:jc w:val="both"/>
      </w:pPr>
      <w:r>
        <w:rPr>
          <w:sz w:val="20"/>
        </w:rPr>
      </w:r>
    </w:p>
    <w:p>
      <w:pPr>
        <w:pStyle w:val="0"/>
        <w:ind w:firstLine="540"/>
        <w:jc w:val="both"/>
      </w:pPr>
      <w:r>
        <w:rPr>
          <w:sz w:val="20"/>
        </w:rPr>
        <w:t xml:space="preserve">4.1. Граждане, состоящие на учете в центре занятости населения по месту деятельности работодателя, включенного в </w:t>
      </w:r>
      <w:hyperlink w:history="0" r:id="rId53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желающие трудоустроиться у указанного работодателя, но не отвечающие профессионально-квалификационным требованиям работодателя, а также граждане, осуществляющие трудовую деятельность у работодателя, включенного в </w:t>
      </w:r>
      <w:hyperlink w:history="0" r:id="rId53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работники которого призваны на военную службу в Вооруженные Силы Российской Федерации по мобилизации, проходят профобучение.</w:t>
      </w:r>
    </w:p>
    <w:p>
      <w:pPr>
        <w:pStyle w:val="0"/>
        <w:jc w:val="both"/>
      </w:pPr>
      <w:r>
        <w:rPr>
          <w:sz w:val="20"/>
        </w:rPr>
        <w:t xml:space="preserve">(в ред. </w:t>
      </w:r>
      <w:hyperlink w:history="0" r:id="rId534"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bookmarkStart w:id="3508" w:name="P3508"/>
    <w:bookmarkEnd w:id="3508"/>
    <w:p>
      <w:pPr>
        <w:pStyle w:val="0"/>
        <w:spacing w:before="200" w:line-rule="auto"/>
        <w:ind w:firstLine="540"/>
        <w:jc w:val="both"/>
      </w:pPr>
      <w:r>
        <w:rPr>
          <w:sz w:val="20"/>
        </w:rPr>
        <w:t xml:space="preserve">4.2. Организацию профобучения граждан осуществляет центр занятости населения с момента представления гражданином следующих документов:</w:t>
      </w:r>
    </w:p>
    <w:p>
      <w:pPr>
        <w:pStyle w:val="0"/>
        <w:spacing w:before="200" w:line-rule="auto"/>
        <w:ind w:firstLine="540"/>
        <w:jc w:val="both"/>
      </w:pPr>
      <w:r>
        <w:rPr>
          <w:sz w:val="20"/>
        </w:rPr>
        <w:t xml:space="preserve">4.2.1. Личного заявления по утвержденной Департаментом форме.</w:t>
      </w:r>
    </w:p>
    <w:p>
      <w:pPr>
        <w:pStyle w:val="0"/>
        <w:spacing w:before="200" w:line-rule="auto"/>
        <w:ind w:firstLine="540"/>
        <w:jc w:val="both"/>
      </w:pPr>
      <w:r>
        <w:rPr>
          <w:sz w:val="20"/>
        </w:rPr>
        <w:t xml:space="preserve">4.2.2. Паспорта или иного документа, удостоверяющего личность.</w:t>
      </w:r>
    </w:p>
    <w:p>
      <w:pPr>
        <w:pStyle w:val="0"/>
        <w:spacing w:before="200" w:line-rule="auto"/>
        <w:ind w:firstLine="540"/>
        <w:jc w:val="both"/>
      </w:pPr>
      <w:r>
        <w:rPr>
          <w:sz w:val="20"/>
        </w:rPr>
        <w:t xml:space="preserve">4.2.3. Документа об образовании и (или) о квалификации (при наличии).</w:t>
      </w:r>
    </w:p>
    <w:p>
      <w:pPr>
        <w:pStyle w:val="0"/>
        <w:spacing w:before="200" w:line-rule="auto"/>
        <w:ind w:firstLine="540"/>
        <w:jc w:val="both"/>
      </w:pPr>
      <w:r>
        <w:rPr>
          <w:sz w:val="20"/>
        </w:rPr>
        <w:t xml:space="preserve">4.2.4. Трудовой книжки или документа, ее заменяющего (при наличии).</w:t>
      </w:r>
    </w:p>
    <w:p>
      <w:pPr>
        <w:pStyle w:val="0"/>
        <w:spacing w:before="200" w:line-rule="auto"/>
        <w:ind w:firstLine="540"/>
        <w:jc w:val="both"/>
      </w:pPr>
      <w:r>
        <w:rPr>
          <w:sz w:val="20"/>
        </w:rPr>
        <w:t xml:space="preserve">4.2.5. Копии трудового договора с работодателем, включенным в </w:t>
      </w:r>
      <w:hyperlink w:history="0" r:id="rId53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об осуществлении гражданином трудовой деятельности после прохождения профобучения.</w:t>
      </w:r>
    </w:p>
    <w:p>
      <w:pPr>
        <w:pStyle w:val="0"/>
        <w:spacing w:before="200" w:line-rule="auto"/>
        <w:ind w:firstLine="540"/>
        <w:jc w:val="both"/>
      </w:pPr>
      <w:r>
        <w:rPr>
          <w:sz w:val="20"/>
        </w:rPr>
        <w:t xml:space="preserve">4.3. Специалист центра занятости населения:</w:t>
      </w:r>
    </w:p>
    <w:p>
      <w:pPr>
        <w:pStyle w:val="0"/>
        <w:spacing w:before="200" w:line-rule="auto"/>
        <w:ind w:firstLine="540"/>
        <w:jc w:val="both"/>
      </w:pPr>
      <w:r>
        <w:rPr>
          <w:sz w:val="20"/>
        </w:rPr>
        <w:t xml:space="preserve">4.3.1. Регистрирует заявление гражданина с приложением документов, указанных в </w:t>
      </w:r>
      <w:hyperlink w:history="0" w:anchor="P3508" w:tooltip="4.2. Организацию профобучения граждан осуществляет центр занятости населения с момента представления гражданином следующих документов:">
        <w:r>
          <w:rPr>
            <w:sz w:val="20"/>
            <w:color w:val="0000ff"/>
          </w:rPr>
          <w:t xml:space="preserve">пункте 4.2</w:t>
        </w:r>
      </w:hyperlink>
      <w:r>
        <w:rPr>
          <w:sz w:val="20"/>
        </w:rPr>
        <w:t xml:space="preserve"> Порядка, в день его поступления в журнале регистрации.</w:t>
      </w:r>
    </w:p>
    <w:p>
      <w:pPr>
        <w:pStyle w:val="0"/>
        <w:spacing w:before="200" w:line-rule="auto"/>
        <w:ind w:firstLine="540"/>
        <w:jc w:val="both"/>
      </w:pPr>
      <w:r>
        <w:rPr>
          <w:sz w:val="20"/>
        </w:rPr>
        <w:t xml:space="preserve">4.3.2. Снимает и заверяет копии с оригиналов документов, указанных в </w:t>
      </w:r>
      <w:hyperlink w:history="0" w:anchor="P3508" w:tooltip="4.2. Организацию профобучения граждан осуществляет центр занятости населения с момента представления гражданином следующих документов:">
        <w:r>
          <w:rPr>
            <w:sz w:val="20"/>
            <w:color w:val="0000ff"/>
          </w:rPr>
          <w:t xml:space="preserve">пункте 4.2</w:t>
        </w:r>
      </w:hyperlink>
      <w:r>
        <w:rPr>
          <w:sz w:val="20"/>
        </w:rPr>
        <w:t xml:space="preserve"> Порядка, после чего оригиналы возвращает гражданину.</w:t>
      </w:r>
    </w:p>
    <w:p>
      <w:pPr>
        <w:pStyle w:val="0"/>
        <w:spacing w:before="200" w:line-rule="auto"/>
        <w:ind w:firstLine="540"/>
        <w:jc w:val="both"/>
      </w:pPr>
      <w:r>
        <w:rPr>
          <w:sz w:val="20"/>
        </w:rPr>
        <w:t xml:space="preserve">4.3.3. Осуществляет по согласованию с гражданином в день его обращения подбор профессии (специальности), исходя из сведений о его образовании, квалификации и перечня вариантов обучения, а также с учетом перечня профессий, заявленных работодателем.</w:t>
      </w:r>
    </w:p>
    <w:p>
      <w:pPr>
        <w:pStyle w:val="0"/>
        <w:spacing w:before="200" w:line-rule="auto"/>
        <w:ind w:firstLine="540"/>
        <w:jc w:val="both"/>
      </w:pPr>
      <w:r>
        <w:rPr>
          <w:sz w:val="20"/>
        </w:rPr>
        <w:t xml:space="preserve">4.3.4. В случае выбора гражданином профессии (специальности), требующей медицинского осмотра, направляет гражданина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При представлении гражданином отрицательного заключения по результатам медицинского осмотра - продолжает осуществлять подбор профессии (специальности).</w:t>
      </w:r>
    </w:p>
    <w:p>
      <w:pPr>
        <w:pStyle w:val="0"/>
        <w:spacing w:before="200" w:line-rule="auto"/>
        <w:ind w:firstLine="540"/>
        <w:jc w:val="both"/>
      </w:pPr>
      <w:r>
        <w:rPr>
          <w:sz w:val="20"/>
        </w:rPr>
        <w:t xml:space="preserve">При представлении гражданином положительного заключения по результатам медицинского осмотра - выдает гражданину направление на профобучение.</w:t>
      </w:r>
    </w:p>
    <w:p>
      <w:pPr>
        <w:pStyle w:val="0"/>
        <w:spacing w:before="200" w:line-rule="auto"/>
        <w:ind w:firstLine="540"/>
        <w:jc w:val="both"/>
      </w:pPr>
      <w:r>
        <w:rPr>
          <w:sz w:val="20"/>
        </w:rPr>
        <w:t xml:space="preserve">4.3.5. Выдает гражданину направление на профобучение в соответствии с утвержденной Департаментом формой.</w:t>
      </w:r>
    </w:p>
    <w:p>
      <w:pPr>
        <w:pStyle w:val="0"/>
        <w:spacing w:before="200" w:line-rule="auto"/>
        <w:ind w:firstLine="540"/>
        <w:jc w:val="both"/>
      </w:pPr>
      <w:r>
        <w:rPr>
          <w:sz w:val="20"/>
        </w:rPr>
        <w:t xml:space="preserve">4.3.6. При прохождении гражданином профобучения в другой местности центр занятости населения заключает с ним договор о компенсации расходов по проезду к месту обучения и обратно, суточных расходов, оплате найма жилого помещения на время профобучения, форму которого утверждает Департамент.</w:t>
      </w:r>
    </w:p>
    <w:p>
      <w:pPr>
        <w:pStyle w:val="0"/>
        <w:spacing w:before="200" w:line-rule="auto"/>
        <w:ind w:firstLine="540"/>
        <w:jc w:val="both"/>
      </w:pPr>
      <w:r>
        <w:rPr>
          <w:sz w:val="20"/>
        </w:rPr>
        <w:t xml:space="preserve">4.4. Основанием для отказа гражданину в профобучении является:</w:t>
      </w:r>
    </w:p>
    <w:p>
      <w:pPr>
        <w:pStyle w:val="0"/>
        <w:spacing w:before="200" w:line-rule="auto"/>
        <w:ind w:firstLine="540"/>
        <w:jc w:val="both"/>
      </w:pPr>
      <w:r>
        <w:rPr>
          <w:sz w:val="20"/>
        </w:rPr>
        <w:t xml:space="preserve">4.4.1. Непредставление документов, предусмотренных </w:t>
      </w:r>
      <w:hyperlink w:history="0" w:anchor="P3508" w:tooltip="4.2. Организацию профобучения граждан осуществляет центр занятости населения с момента представления гражданином следующих документов:">
        <w:r>
          <w:rPr>
            <w:sz w:val="20"/>
            <w:color w:val="0000ff"/>
          </w:rPr>
          <w:t xml:space="preserve">пунктом 4.2</w:t>
        </w:r>
      </w:hyperlink>
      <w:r>
        <w:rPr>
          <w:sz w:val="20"/>
        </w:rPr>
        <w:t xml:space="preserve"> Порядка.</w:t>
      </w:r>
    </w:p>
    <w:p>
      <w:pPr>
        <w:pStyle w:val="0"/>
        <w:spacing w:before="200" w:line-rule="auto"/>
        <w:ind w:firstLine="540"/>
        <w:jc w:val="both"/>
      </w:pPr>
      <w:r>
        <w:rPr>
          <w:sz w:val="20"/>
        </w:rPr>
        <w:t xml:space="preserve">4.4.2. Представление в центр занятости населения недостоверных и (или) искаженных сведений и документов.</w:t>
      </w:r>
    </w:p>
    <w:p>
      <w:pPr>
        <w:pStyle w:val="0"/>
        <w:spacing w:before="200" w:line-rule="auto"/>
        <w:ind w:firstLine="540"/>
        <w:jc w:val="both"/>
      </w:pPr>
      <w:r>
        <w:rPr>
          <w:sz w:val="20"/>
        </w:rPr>
        <w:t xml:space="preserve">4.4.3. Повторное обращение для прохождения профобучения в течение трех лет после его завершения.</w:t>
      </w:r>
    </w:p>
    <w:p>
      <w:pPr>
        <w:pStyle w:val="0"/>
        <w:spacing w:before="200" w:line-rule="auto"/>
        <w:ind w:firstLine="540"/>
        <w:jc w:val="both"/>
      </w:pPr>
      <w:r>
        <w:rPr>
          <w:sz w:val="20"/>
        </w:rPr>
        <w:t xml:space="preserve">4.5. Основания отказа в профобучении специалист центра занятости населения разъясняет гражданину, затем оформляет решение согласно утвержденной Департаментом форме, с указанием оснований отказа в профобучении и выдает его гражданину.</w:t>
      </w:r>
    </w:p>
    <w:p>
      <w:pPr>
        <w:pStyle w:val="0"/>
        <w:spacing w:before="200" w:line-rule="auto"/>
        <w:ind w:firstLine="540"/>
        <w:jc w:val="both"/>
      </w:pPr>
      <w:r>
        <w:rPr>
          <w:sz w:val="20"/>
        </w:rPr>
        <w:t xml:space="preserve">Процедура оформления решения об отказе в профобучении гражданину осуществляется в течение 15 минут.</w:t>
      </w:r>
    </w:p>
    <w:bookmarkStart w:id="3529" w:name="P3529"/>
    <w:bookmarkEnd w:id="3529"/>
    <w:p>
      <w:pPr>
        <w:pStyle w:val="0"/>
        <w:spacing w:before="200" w:line-rule="auto"/>
        <w:ind w:firstLine="540"/>
        <w:jc w:val="both"/>
      </w:pPr>
      <w:r>
        <w:rPr>
          <w:sz w:val="20"/>
        </w:rPr>
        <w:t xml:space="preserve">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w:t>
      </w:r>
    </w:p>
    <w:p>
      <w:pPr>
        <w:pStyle w:val="0"/>
        <w:spacing w:before="200" w:line-rule="auto"/>
        <w:ind w:firstLine="540"/>
        <w:jc w:val="both"/>
      </w:pPr>
      <w:r>
        <w:rPr>
          <w:sz w:val="20"/>
        </w:rPr>
        <w:t xml:space="preserve">а) компенсация расходов на проезд к месту профобучения и обратно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pPr>
        <w:pStyle w:val="0"/>
        <w:spacing w:before="200" w:line-rule="auto"/>
        <w:ind w:firstLine="540"/>
        <w:jc w:val="both"/>
      </w:pPr>
      <w:r>
        <w:rPr>
          <w:sz w:val="20"/>
        </w:rPr>
        <w:t xml:space="preserve">железнодорожным транспортом - в плацкартном вагоне пассажирского поезда;</w:t>
      </w:r>
    </w:p>
    <w:p>
      <w:pPr>
        <w:pStyle w:val="0"/>
        <w:spacing w:before="200" w:line-rule="auto"/>
        <w:ind w:firstLine="540"/>
        <w:jc w:val="both"/>
      </w:pPr>
      <w:r>
        <w:rPr>
          <w:sz w:val="20"/>
        </w:rPr>
        <w:t xml:space="preserve">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pPr>
        <w:pStyle w:val="0"/>
        <w:spacing w:before="200" w:line-rule="auto"/>
        <w:ind w:firstLine="540"/>
        <w:jc w:val="both"/>
      </w:pPr>
      <w:r>
        <w:rPr>
          <w:sz w:val="20"/>
        </w:rPr>
        <w:t xml:space="preserve">воздушным транспортом - в салоне экономического класса самолетов (при условии отсутствия железнодорожного сообщения);</w:t>
      </w:r>
    </w:p>
    <w:p>
      <w:pPr>
        <w:pStyle w:val="0"/>
        <w:spacing w:before="200" w:line-rule="auto"/>
        <w:ind w:firstLine="540"/>
        <w:jc w:val="both"/>
      </w:pPr>
      <w:r>
        <w:rPr>
          <w:sz w:val="20"/>
        </w:rPr>
        <w:t xml:space="preserve">автомобильным транспортом - в автобусах междугородного сообщения;</w:t>
      </w:r>
    </w:p>
    <w:p>
      <w:pPr>
        <w:pStyle w:val="0"/>
        <w:spacing w:before="200" w:line-rule="auto"/>
        <w:ind w:firstLine="540"/>
        <w:jc w:val="both"/>
      </w:pPr>
      <w:r>
        <w:rPr>
          <w:sz w:val="20"/>
        </w:rPr>
        <w:t xml:space="preserve">б) компенсация расходов за наем жилого помещения на время прохождения профобучения - в размере фактических расходов, подтвержденных соответствующими документами, но не более 550 рублей в сутки;</w:t>
      </w:r>
    </w:p>
    <w:p>
      <w:pPr>
        <w:pStyle w:val="0"/>
        <w:spacing w:before="200" w:line-rule="auto"/>
        <w:ind w:firstLine="540"/>
        <w:jc w:val="both"/>
      </w:pPr>
      <w:r>
        <w:rPr>
          <w:sz w:val="20"/>
        </w:rPr>
        <w:t xml:space="preserve">в) суточные расходы - в размере 300 рублей за каждый день нахождения в пути следования к месту профобучения и обратно.</w:t>
      </w:r>
    </w:p>
    <w:bookmarkStart w:id="3537" w:name="P3537"/>
    <w:bookmarkEnd w:id="3537"/>
    <w:p>
      <w:pPr>
        <w:pStyle w:val="0"/>
        <w:spacing w:before="200" w:line-rule="auto"/>
        <w:ind w:firstLine="540"/>
        <w:jc w:val="both"/>
      </w:pPr>
      <w:r>
        <w:rPr>
          <w:sz w:val="20"/>
        </w:rPr>
        <w:t xml:space="preserve">4.7. Для получения компенсации, установленной </w:t>
      </w:r>
      <w:hyperlink w:history="0" w:anchor="P3529" w:tooltip="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
        <w:r>
          <w:rPr>
            <w:sz w:val="20"/>
            <w:color w:val="0000ff"/>
          </w:rPr>
          <w:t xml:space="preserve">пунктом 4.6</w:t>
        </w:r>
      </w:hyperlink>
      <w:r>
        <w:rPr>
          <w:sz w:val="20"/>
        </w:rPr>
        <w:t xml:space="preserve">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w:t>
      </w:r>
    </w:p>
    <w:p>
      <w:pPr>
        <w:pStyle w:val="0"/>
        <w:spacing w:before="200" w:line-rule="auto"/>
        <w:ind w:firstLine="540"/>
        <w:jc w:val="both"/>
      </w:pPr>
      <w:r>
        <w:rPr>
          <w:sz w:val="20"/>
        </w:rPr>
        <w:t xml:space="preserve">4.7.1. Документ, удостоверяющий личность гражданина.</w:t>
      </w:r>
    </w:p>
    <w:p>
      <w:pPr>
        <w:pStyle w:val="0"/>
        <w:spacing w:before="200" w:line-rule="auto"/>
        <w:ind w:firstLine="540"/>
        <w:jc w:val="both"/>
      </w:pPr>
      <w:r>
        <w:rPr>
          <w:sz w:val="20"/>
        </w:rPr>
        <w:t xml:space="preserve">4.7.2. Заявление с указанием своего почтового адреса, реквизитов лицевого счета для перечисления денежных средств.</w:t>
      </w:r>
    </w:p>
    <w:p>
      <w:pPr>
        <w:pStyle w:val="0"/>
        <w:spacing w:before="200" w:line-rule="auto"/>
        <w:ind w:firstLine="540"/>
        <w:jc w:val="both"/>
      </w:pPr>
      <w:r>
        <w:rPr>
          <w:sz w:val="20"/>
        </w:rPr>
        <w:t xml:space="preserve">4.7.3. Документ об образовании и (или) квалификации либо документ об обучении, выданный организацией, осуществляющей образовательную деятельность, подтверждающий прохождение профобучения в другой местности.</w:t>
      </w:r>
    </w:p>
    <w:p>
      <w:pPr>
        <w:pStyle w:val="0"/>
        <w:spacing w:before="200" w:line-rule="auto"/>
        <w:ind w:firstLine="540"/>
        <w:jc w:val="both"/>
      </w:pPr>
      <w:r>
        <w:rPr>
          <w:sz w:val="20"/>
        </w:rPr>
        <w:t xml:space="preserve">4.7.4. Документы, подтверждающие сведения о произведенных гражданином расходах на цели, установленные </w:t>
      </w:r>
      <w:hyperlink w:history="0" w:anchor="P3529" w:tooltip="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
        <w:r>
          <w:rPr>
            <w:sz w:val="20"/>
            <w:color w:val="0000ff"/>
          </w:rPr>
          <w:t xml:space="preserve">пунктом 4.6</w:t>
        </w:r>
      </w:hyperlink>
      <w:r>
        <w:rPr>
          <w:sz w:val="20"/>
        </w:rPr>
        <w:t xml:space="preserve"> Порядка.</w:t>
      </w:r>
    </w:p>
    <w:p>
      <w:pPr>
        <w:pStyle w:val="0"/>
        <w:spacing w:before="200" w:line-rule="auto"/>
        <w:ind w:firstLine="540"/>
        <w:jc w:val="both"/>
      </w:pPr>
      <w:r>
        <w:rPr>
          <w:sz w:val="20"/>
        </w:rPr>
        <w:t xml:space="preserve">4.8. Основаниями для отказа в выплате компенсации расходов, предусмотренной </w:t>
      </w:r>
      <w:hyperlink w:history="0" w:anchor="P3529" w:tooltip="4.6. Гражданину компенсируются расходы, понесенные в связи с направлением на профобучение в другую местность из бюджета автономного округа центром занятости населения в следующих размерах:">
        <w:r>
          <w:rPr>
            <w:sz w:val="20"/>
            <w:color w:val="0000ff"/>
          </w:rPr>
          <w:t xml:space="preserve">пунктом 4.6</w:t>
        </w:r>
      </w:hyperlink>
      <w:r>
        <w:rPr>
          <w:sz w:val="20"/>
        </w:rPr>
        <w:t xml:space="preserve"> Порядка, являются:</w:t>
      </w:r>
    </w:p>
    <w:p>
      <w:pPr>
        <w:pStyle w:val="0"/>
        <w:spacing w:before="200" w:line-rule="auto"/>
        <w:ind w:firstLine="540"/>
        <w:jc w:val="both"/>
      </w:pPr>
      <w:r>
        <w:rPr>
          <w:sz w:val="20"/>
        </w:rPr>
        <w:t xml:space="preserve">4.8.1. Представление в центр занятости населения недостоверных и (или) искаженных сведений и документов.</w:t>
      </w:r>
    </w:p>
    <w:p>
      <w:pPr>
        <w:pStyle w:val="0"/>
        <w:spacing w:before="200" w:line-rule="auto"/>
        <w:ind w:firstLine="540"/>
        <w:jc w:val="both"/>
      </w:pPr>
      <w:r>
        <w:rPr>
          <w:sz w:val="20"/>
        </w:rPr>
        <w:t xml:space="preserve">4.8.2. Непредставление документов, указанных в </w:t>
      </w:r>
      <w:hyperlink w:history="0" w:anchor="P3537" w:tooltip="4.7. Для получения компенсации, установленной пунктом 4.6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
        <w:r>
          <w:rPr>
            <w:sz w:val="20"/>
            <w:color w:val="0000ff"/>
          </w:rPr>
          <w:t xml:space="preserve">пункте 4.7</w:t>
        </w:r>
      </w:hyperlink>
      <w:r>
        <w:rPr>
          <w:sz w:val="20"/>
        </w:rPr>
        <w:t xml:space="preserve"> Порядка.</w:t>
      </w:r>
    </w:p>
    <w:p>
      <w:pPr>
        <w:pStyle w:val="0"/>
        <w:spacing w:before="200" w:line-rule="auto"/>
        <w:ind w:firstLine="540"/>
        <w:jc w:val="both"/>
      </w:pPr>
      <w:r>
        <w:rPr>
          <w:sz w:val="20"/>
        </w:rPr>
        <w:t xml:space="preserve">4.8.3. Представление документов, указанных в </w:t>
      </w:r>
      <w:hyperlink w:history="0" w:anchor="P3537" w:tooltip="4.7. Для получения компенсации, установленной пунктом 4.6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
        <w:r>
          <w:rPr>
            <w:sz w:val="20"/>
            <w:color w:val="0000ff"/>
          </w:rPr>
          <w:t xml:space="preserve">пункте 4.7</w:t>
        </w:r>
      </w:hyperlink>
      <w:r>
        <w:rPr>
          <w:sz w:val="20"/>
        </w:rPr>
        <w:t xml:space="preserve"> Порядка, по истечении 10 рабочих дней со дня прибытия с профобучения.</w:t>
      </w:r>
    </w:p>
    <w:p>
      <w:pPr>
        <w:pStyle w:val="0"/>
        <w:spacing w:before="200" w:line-rule="auto"/>
        <w:ind w:firstLine="540"/>
        <w:jc w:val="both"/>
      </w:pPr>
      <w:r>
        <w:rPr>
          <w:sz w:val="20"/>
        </w:rPr>
        <w:t xml:space="preserve">4.9. Выплата компенсации осуществляется центром занятости населения в течение 7 рабочих дней со дня получения документов, указанных в </w:t>
      </w:r>
      <w:hyperlink w:history="0" w:anchor="P3537" w:tooltip="4.7. Для получения компенсации, установленной пунктом 4.6 Порядка, гражданин не позднее 10 рабочих дней со дня прибытия с профобучения представляет в центр занятости населения по месту жительства следующие документы:">
        <w:r>
          <w:rPr>
            <w:sz w:val="20"/>
            <w:color w:val="0000ff"/>
          </w:rPr>
          <w:t xml:space="preserve">пункте 4.7</w:t>
        </w:r>
      </w:hyperlink>
      <w:r>
        <w:rPr>
          <w:sz w:val="20"/>
        </w:rPr>
        <w:t xml:space="preserve"> Порядка, путем перечисления денежных средств на лицевой счет гражданина либо через отделение федеральной почтовой связи.</w:t>
      </w:r>
    </w:p>
    <w:p>
      <w:pPr>
        <w:pStyle w:val="0"/>
        <w:spacing w:before="200" w:line-rule="auto"/>
        <w:ind w:firstLine="540"/>
        <w:jc w:val="both"/>
      </w:pPr>
      <w:r>
        <w:rPr>
          <w:sz w:val="20"/>
        </w:rPr>
        <w:t xml:space="preserve">4.10. В период профобучения гражданам, не занятым трудовой деятельностью, выплачивается стипендия в размере минимальной величины пособия по безработице, установленной в Российской Федерации, увеличенной на размер районного коэффициента, установленного в автономном округе.</w:t>
      </w:r>
    </w:p>
    <w:p>
      <w:pPr>
        <w:pStyle w:val="0"/>
        <w:jc w:val="both"/>
      </w:pPr>
      <w:r>
        <w:rPr>
          <w:sz w:val="20"/>
        </w:rPr>
        <w:t xml:space="preserve">(в ред. </w:t>
      </w:r>
      <w:hyperlink w:history="0" r:id="rId536"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18.11.2022 N 609-п)</w:t>
      </w:r>
    </w:p>
    <w:p>
      <w:pPr>
        <w:pStyle w:val="0"/>
        <w:spacing w:before="200" w:line-rule="auto"/>
        <w:ind w:firstLine="540"/>
        <w:jc w:val="both"/>
      </w:pPr>
      <w:r>
        <w:rPr>
          <w:sz w:val="20"/>
        </w:rPr>
        <w:t xml:space="preserve">4.11. Выплата стипендии осуществляется пропорционально фактическому периоду обучения.</w:t>
      </w:r>
    </w:p>
    <w:p>
      <w:pPr>
        <w:pStyle w:val="0"/>
        <w:spacing w:before="200" w:line-rule="auto"/>
        <w:ind w:firstLine="540"/>
        <w:jc w:val="both"/>
      </w:pPr>
      <w:r>
        <w:rPr>
          <w:sz w:val="20"/>
        </w:rPr>
        <w:t xml:space="preserve">4.12. Стипендия перечисляется на лицевой счет гражданина либо через отделение федеральной почтовой связи в течение 7 банковских дней после представления организацией, осуществляющей образовательную деятельность, табеля посещаемости гражданина.</w:t>
      </w:r>
    </w:p>
    <w:p>
      <w:pPr>
        <w:pStyle w:val="0"/>
        <w:spacing w:before="200" w:line-rule="auto"/>
        <w:ind w:firstLine="540"/>
        <w:jc w:val="both"/>
      </w:pPr>
      <w:r>
        <w:rPr>
          <w:sz w:val="20"/>
        </w:rPr>
        <w:t xml:space="preserve">4.13. Обязательным условием предоставления гражданину бюджетных средств на цели, предусмотренные Порядком, является его согласие на осуществление Департаментом и органом государственного финансового контроля автономного округа проверки соблюдения им условий, целей и порядка предоставления бюджетных средств в рамках Порядка и осуществление трудовой деятельности у работодателя, включенного в </w:t>
      </w:r>
      <w:hyperlink w:history="0" r:id="rId53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не менее 2 лет.</w:t>
      </w:r>
    </w:p>
    <w:p>
      <w:pPr>
        <w:pStyle w:val="0"/>
        <w:spacing w:before="200" w:line-rule="auto"/>
        <w:ind w:firstLine="540"/>
        <w:jc w:val="both"/>
      </w:pPr>
      <w:r>
        <w:rPr>
          <w:sz w:val="20"/>
        </w:rPr>
        <w:t xml:space="preserve">Для граждан, прошедших профобучение с целью замещения рабочих мест, освободившихся в связи с призывом работников на военную службу в Вооруженные Силы Российской Федерации по мобилизации, при принятии решения о компенсации расходов, понесенных указанными гражданами в связи с направлением их на профобучение в другую местность, не применяется условие, предусматривающее период осуществления трудовой деятельности у работодателя, включенного в </w:t>
      </w:r>
      <w:hyperlink w:history="0" r:id="rId53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не менее 2 лет.</w:t>
      </w:r>
    </w:p>
    <w:p>
      <w:pPr>
        <w:pStyle w:val="0"/>
        <w:jc w:val="both"/>
      </w:pPr>
      <w:r>
        <w:rPr>
          <w:sz w:val="20"/>
        </w:rPr>
        <w:t xml:space="preserve">(абзац введен </w:t>
      </w:r>
      <w:hyperlink w:history="0" r:id="rId539"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18.11.2022 N 609-п)</w:t>
      </w:r>
    </w:p>
    <w:p>
      <w:pPr>
        <w:pStyle w:val="0"/>
        <w:spacing w:before="200" w:line-rule="auto"/>
        <w:ind w:firstLine="540"/>
        <w:jc w:val="both"/>
      </w:pPr>
      <w:r>
        <w:rPr>
          <w:sz w:val="20"/>
        </w:rPr>
        <w:t xml:space="preserve">4.14. Профобучение граждан осуществляется по очно-заочной или заочной форме обучения, в том числе с применением дистанционной образовательной технологии на базе организаций, осуществляющих образовательную деятельность, имеющих лицензии на право ведения образовательной деятельности, выданных в установленном законодательством Российской Федерации порядке. Профобучение может быть курсовым (групповым) или индивидуальным.</w:t>
      </w:r>
    </w:p>
    <w:p>
      <w:pPr>
        <w:pStyle w:val="0"/>
        <w:jc w:val="both"/>
      </w:pPr>
      <w:r>
        <w:rPr>
          <w:sz w:val="20"/>
        </w:rPr>
      </w:r>
    </w:p>
    <w:p>
      <w:pPr>
        <w:pStyle w:val="2"/>
        <w:outlineLvl w:val="1"/>
        <w:jc w:val="center"/>
      </w:pPr>
      <w:r>
        <w:rPr>
          <w:sz w:val="20"/>
        </w:rPr>
        <w:t xml:space="preserve">Раздел V. ОТВЕТСТВЕННОСТЬ, КОНТРОЛЬ И ПОРЯДОК ВОЗВРАТА</w:t>
      </w:r>
    </w:p>
    <w:p>
      <w:pPr>
        <w:pStyle w:val="2"/>
        <w:jc w:val="center"/>
      </w:pPr>
      <w:r>
        <w:rPr>
          <w:sz w:val="20"/>
        </w:rPr>
        <w:t xml:space="preserve">СРЕДСТВ БЮДЖЕТА АВТОНОМНОГО ОКРУГА</w:t>
      </w:r>
    </w:p>
    <w:p>
      <w:pPr>
        <w:pStyle w:val="0"/>
        <w:jc w:val="both"/>
      </w:pPr>
      <w:r>
        <w:rPr>
          <w:sz w:val="20"/>
        </w:rPr>
      </w:r>
    </w:p>
    <w:p>
      <w:pPr>
        <w:pStyle w:val="0"/>
        <w:ind w:firstLine="540"/>
        <w:jc w:val="both"/>
      </w:pPr>
      <w:r>
        <w:rPr>
          <w:sz w:val="20"/>
        </w:rPr>
        <w:t xml:space="preserve">5.1. Получателями средств бюджета автономного округа являются:</w:t>
      </w:r>
    </w:p>
    <w:p>
      <w:pPr>
        <w:pStyle w:val="0"/>
        <w:spacing w:before="200" w:line-rule="auto"/>
        <w:ind w:firstLine="540"/>
        <w:jc w:val="both"/>
      </w:pPr>
      <w:r>
        <w:rPr>
          <w:sz w:val="20"/>
        </w:rPr>
        <w:t xml:space="preserve">организации, осуществляющие образовательную деятельность,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оказания образовательных услуг по профобучению граждан;</w:t>
      </w:r>
    </w:p>
    <w:p>
      <w:pPr>
        <w:pStyle w:val="0"/>
        <w:spacing w:before="200" w:line-rule="auto"/>
        <w:ind w:firstLine="540"/>
        <w:jc w:val="both"/>
      </w:pPr>
      <w:r>
        <w:rPr>
          <w:sz w:val="20"/>
        </w:rPr>
        <w:t xml:space="preserve">медицинские учреждения, прошедшие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для проведения медицинского освидетельствования граждан, направленных центром занятости населения;</w:t>
      </w:r>
    </w:p>
    <w:p>
      <w:pPr>
        <w:pStyle w:val="0"/>
        <w:spacing w:before="200" w:line-rule="auto"/>
        <w:ind w:firstLine="540"/>
        <w:jc w:val="both"/>
      </w:pPr>
      <w:r>
        <w:rPr>
          <w:sz w:val="20"/>
        </w:rPr>
        <w:t xml:space="preserve">граждане, направленные на профобучение центром занятости населения.</w:t>
      </w:r>
    </w:p>
    <w:p>
      <w:pPr>
        <w:pStyle w:val="0"/>
        <w:spacing w:before="200" w:line-rule="auto"/>
        <w:ind w:firstLine="540"/>
        <w:jc w:val="both"/>
      </w:pPr>
      <w:r>
        <w:rPr>
          <w:sz w:val="20"/>
        </w:rPr>
        <w:t xml:space="preserve">5.2. Ответственность за нецелевое использование средств бюджета автономного округа возлагается на руководителя центра занятости населения и получателей бюджетных средств.</w:t>
      </w:r>
    </w:p>
    <w:p>
      <w:pPr>
        <w:pStyle w:val="0"/>
        <w:spacing w:before="200" w:line-rule="auto"/>
        <w:ind w:firstLine="540"/>
        <w:jc w:val="both"/>
      </w:pPr>
      <w:r>
        <w:rPr>
          <w:sz w:val="20"/>
        </w:rPr>
        <w:t xml:space="preserve">5.3. Получатели средств бюджета автономного округа несут ответственность за достоверность представляемых ими документов и выполнение условий заключенного с ними договора в соответствии с законодательством Российской Федерации.</w:t>
      </w:r>
    </w:p>
    <w:p>
      <w:pPr>
        <w:pStyle w:val="0"/>
        <w:spacing w:before="200" w:line-rule="auto"/>
        <w:ind w:firstLine="540"/>
        <w:jc w:val="both"/>
      </w:pPr>
      <w:r>
        <w:rPr>
          <w:sz w:val="20"/>
        </w:rPr>
        <w:t xml:space="preserve">5.4. В случае установления факта нецелевого расходования средств бюджета автономного округа, частичного или полного неисполнения условий государственного контракта или договора получатель средств бюджета автономного округа обязан их возвратить в бюджет автономного округа.</w:t>
      </w:r>
    </w:p>
    <w:p>
      <w:pPr>
        <w:pStyle w:val="0"/>
        <w:spacing w:before="200" w:line-rule="auto"/>
        <w:ind w:firstLine="540"/>
        <w:jc w:val="both"/>
      </w:pPr>
      <w:r>
        <w:rPr>
          <w:sz w:val="20"/>
        </w:rPr>
        <w:t xml:space="preserve">5.5. Возврат в текущем финансовом году получателем средств бюджета автономного округа остатков бюджетных средств, не использованных в отчетном финансовом году, в случаях, предусмотренных договором, осуществляется в порядке, предусмотренном </w:t>
      </w:r>
      <w:hyperlink w:history="0" w:anchor="P3567" w:tooltip="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
        <w:r>
          <w:rPr>
            <w:sz w:val="20"/>
            <w:color w:val="0000ff"/>
          </w:rPr>
          <w:t xml:space="preserve">пунктами 5.6</w:t>
        </w:r>
      </w:hyperlink>
      <w:r>
        <w:rPr>
          <w:sz w:val="20"/>
        </w:rPr>
        <w:t xml:space="preserve"> - </w:t>
      </w:r>
      <w:hyperlink w:history="0" w:anchor="P3569" w:tooltip="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
        <w:r>
          <w:rPr>
            <w:sz w:val="20"/>
            <w:color w:val="0000ff"/>
          </w:rPr>
          <w:t xml:space="preserve">5.8</w:t>
        </w:r>
      </w:hyperlink>
      <w:r>
        <w:rPr>
          <w:sz w:val="20"/>
        </w:rPr>
        <w:t xml:space="preserve"> Порядка.</w:t>
      </w:r>
    </w:p>
    <w:bookmarkStart w:id="3567" w:name="P3567"/>
    <w:bookmarkEnd w:id="3567"/>
    <w:p>
      <w:pPr>
        <w:pStyle w:val="0"/>
        <w:spacing w:before="200" w:line-rule="auto"/>
        <w:ind w:firstLine="540"/>
        <w:jc w:val="both"/>
      </w:pPr>
      <w:r>
        <w:rPr>
          <w:sz w:val="20"/>
        </w:rPr>
        <w:t xml:space="preserve">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w:t>
      </w:r>
    </w:p>
    <w:p>
      <w:pPr>
        <w:pStyle w:val="0"/>
        <w:spacing w:before="200" w:line-rule="auto"/>
        <w:ind w:firstLine="540"/>
        <w:jc w:val="both"/>
      </w:pPr>
      <w:r>
        <w:rPr>
          <w:sz w:val="20"/>
        </w:rPr>
        <w:t xml:space="preserve">5.7. Возврат средств бюджета автономного округа в бюджет автономного округа осуществляет получатель в течение 10 календарных дней с момента получения требования, указанного в </w:t>
      </w:r>
      <w:hyperlink w:history="0" w:anchor="P3567" w:tooltip="5.6. Центр занятости населения в течение 15 календарных дней со дня выявления факта нецелевого расходования средств бюджета автономного округа направляет получателю средств бюджета автономного округа мотивированное требование об их возврате.">
        <w:r>
          <w:rPr>
            <w:sz w:val="20"/>
            <w:color w:val="0000ff"/>
          </w:rPr>
          <w:t xml:space="preserve">пункте 5.6</w:t>
        </w:r>
      </w:hyperlink>
      <w:r>
        <w:rPr>
          <w:sz w:val="20"/>
        </w:rPr>
        <w:t xml:space="preserve"> Порядка.</w:t>
      </w:r>
    </w:p>
    <w:bookmarkStart w:id="3569" w:name="P3569"/>
    <w:bookmarkEnd w:id="3569"/>
    <w:p>
      <w:pPr>
        <w:pStyle w:val="0"/>
        <w:spacing w:before="200" w:line-rule="auto"/>
        <w:ind w:firstLine="540"/>
        <w:jc w:val="both"/>
      </w:pPr>
      <w:r>
        <w:rPr>
          <w:sz w:val="20"/>
        </w:rPr>
        <w:t xml:space="preserve">5.8. В случае отказа получателя средств бюджета автономного округа от их возврата в добровольном порядке взыскание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5.9. Споры и взаимные претензии получателя средств бюджета автономного округа и центра занятости населения решаются путем переговоров, при необходимости - с привлечением Департамента; в случае недостижения согласия - в судебном порядке.</w:t>
      </w:r>
    </w:p>
    <w:p>
      <w:pPr>
        <w:pStyle w:val="0"/>
        <w:spacing w:before="200" w:line-rule="auto"/>
        <w:ind w:firstLine="540"/>
        <w:jc w:val="both"/>
      </w:pPr>
      <w:r>
        <w:rPr>
          <w:sz w:val="20"/>
        </w:rPr>
        <w:t xml:space="preserve">5.10. Департамент и органы государственного финансового контроля автономного округа осуществляют обязательную проверку соблюдения условий, целей и порядка предоставления средств бюджета автономного округа в соответствии с Порядком.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14</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3583" w:name="P3583"/>
    <w:bookmarkEnd w:id="3583"/>
    <w:p>
      <w:pPr>
        <w:pStyle w:val="2"/>
        <w:jc w:val="center"/>
      </w:pPr>
      <w:r>
        <w:rPr>
          <w:sz w:val="20"/>
        </w:rPr>
        <w:t xml:space="preserve">ПОРЯДОК</w:t>
      </w:r>
    </w:p>
    <w:p>
      <w:pPr>
        <w:pStyle w:val="2"/>
        <w:jc w:val="center"/>
      </w:pPr>
      <w:r>
        <w:rPr>
          <w:sz w:val="20"/>
        </w:rPr>
        <w:t xml:space="preserve">ПРЕДОСТАВЛЕНИЯ МЕР ГОСУДАРСТВЕННОЙ ПОДДЕРЖКИ ГРАЖДАНАМ,</w:t>
      </w:r>
    </w:p>
    <w:p>
      <w:pPr>
        <w:pStyle w:val="2"/>
        <w:jc w:val="center"/>
      </w:pPr>
      <w:r>
        <w:rPr>
          <w:sz w:val="20"/>
        </w:rPr>
        <w:t xml:space="preserve">ОСУЩЕСТВИВШИМ ПЕРЕЕЗД ДЛЯ ТРУДОУСТРОЙСТВА У РАБОТОДАТЕЛЯ,</w:t>
      </w:r>
    </w:p>
    <w:p>
      <w:pPr>
        <w:pStyle w:val="2"/>
        <w:jc w:val="center"/>
      </w:pPr>
      <w:r>
        <w:rPr>
          <w:sz w:val="20"/>
        </w:rPr>
        <w:t xml:space="preserve">ВКЛЮЧЕННОГО В ПОДПРОГРАММУ "ПОВЫШЕНИЕ МОБИЛЬНОСТИ ТРУДОВЫХ</w:t>
      </w:r>
    </w:p>
    <w:p>
      <w:pPr>
        <w:pStyle w:val="2"/>
        <w:jc w:val="center"/>
      </w:pPr>
      <w:r>
        <w:rPr>
          <w:sz w:val="20"/>
        </w:rPr>
        <w:t xml:space="preserve">РЕСУРСОВ В АВТОНОМНОМ ОКРУГЕ"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540"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18.11.2022 </w:t>
            </w:r>
            <w:hyperlink w:history="0" r:id="rId541"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609-п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Порядок применяется для реализации комплекса мероприятий, направленных на создание условий для привлечения квалифицированных кадров для трудоустройства в автономном округе по основному </w:t>
      </w:r>
      <w:hyperlink w:history="0" r:id="rId54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мероприятию 3.2</w:t>
        </w:r>
      </w:hyperlink>
      <w:r>
        <w:rPr>
          <w:sz w:val="20"/>
        </w:rPr>
        <w:t xml:space="preserve"> "Содействие обеспечению работодателей трудовыми ресурсами" подпрограммы 3 "Повышение мобильности трудовых ресурсов в Ханты-Мансийском автономном округе - Югре"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государственная программа, автономный округ).</w:t>
      </w:r>
    </w:p>
    <w:p>
      <w:pPr>
        <w:pStyle w:val="0"/>
        <w:spacing w:before="200" w:line-rule="auto"/>
        <w:ind w:firstLine="540"/>
        <w:jc w:val="both"/>
      </w:pPr>
      <w:r>
        <w:rPr>
          <w:sz w:val="20"/>
        </w:rPr>
        <w:t xml:space="preserve">Предоставление мер государственной поддержки гражданам, осуществившим переезд для трудоустройства у работодателя, включенного в </w:t>
      </w:r>
      <w:hyperlink w:history="0" r:id="rId543"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"Повышение мобильности трудовых ресурсов в автономном округе", осуществляется в пределах средств, доведенных Департаменту труда и занятости населения Ханты-Мансийского автономного округа - Югры в установленном порядке лимитов бюджетных обязательств на соответствующий финансовый год и плановый период на реализацию государственной программы.</w:t>
      </w:r>
    </w:p>
    <w:p>
      <w:pPr>
        <w:pStyle w:val="0"/>
        <w:spacing w:before="200" w:line-rule="auto"/>
        <w:ind w:firstLine="540"/>
        <w:jc w:val="both"/>
      </w:pPr>
      <w:r>
        <w:rPr>
          <w:sz w:val="20"/>
        </w:rPr>
        <w:t xml:space="preserve">1.2. В Порядке применяются следующие основные понятия и сокращения:</w:t>
      </w:r>
    </w:p>
    <w:p>
      <w:pPr>
        <w:pStyle w:val="0"/>
        <w:spacing w:before="200" w:line-rule="auto"/>
        <w:ind w:firstLine="540"/>
        <w:jc w:val="both"/>
      </w:pPr>
      <w:r>
        <w:rPr>
          <w:sz w:val="20"/>
        </w:rPr>
        <w:t xml:space="preserve">подпрограмма 3 - </w:t>
      </w:r>
      <w:hyperlink w:history="0" r:id="rId54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подпрограмма 3</w:t>
        </w:r>
      </w:hyperlink>
      <w:r>
        <w:rPr>
          <w:sz w:val="20"/>
        </w:rPr>
        <w:t xml:space="preserve"> "Повышение мобильности трудовых ресурсов в автономном округе";</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центр занятости населения - казенное учреждение автономного округа центр занятости населения;</w:t>
      </w:r>
    </w:p>
    <w:p>
      <w:pPr>
        <w:pStyle w:val="0"/>
        <w:spacing w:before="200" w:line-rule="auto"/>
        <w:ind w:firstLine="540"/>
        <w:jc w:val="both"/>
      </w:pPr>
      <w:r>
        <w:rPr>
          <w:sz w:val="20"/>
        </w:rPr>
        <w:t xml:space="preserve">граждане - не занятые трудовой деятельностью граждане, желающие осуществлять свою трудовую деятельность у работодателя, включенного в </w:t>
      </w:r>
      <w:hyperlink w:history="0" r:id="rId54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из числа граждан, проживающих в автономном округе и других субъектах Российской Федерации и обратившихся в центр занятости населения в целях содействия в поиске подходящей работы;</w:t>
      </w:r>
    </w:p>
    <w:p>
      <w:pPr>
        <w:pStyle w:val="0"/>
        <w:spacing w:before="200" w:line-rule="auto"/>
        <w:ind w:firstLine="540"/>
        <w:jc w:val="both"/>
      </w:pPr>
      <w:r>
        <w:rPr>
          <w:sz w:val="20"/>
        </w:rPr>
        <w:t xml:space="preserve">работодатель - юридическое лицо, физическое лицо, зарегистрированное в установленном порядке в качестве главы крестьянско-фермерского хозяйства, индивидуальный предприниматель, испытывающие потребность в трудовых ресурсах для осуществления своей хозяйственной деятельности;</w:t>
      </w:r>
    </w:p>
    <w:p>
      <w:pPr>
        <w:pStyle w:val="0"/>
        <w:spacing w:before="200" w:line-rule="auto"/>
        <w:ind w:firstLine="540"/>
        <w:jc w:val="both"/>
      </w:pPr>
      <w:r>
        <w:rPr>
          <w:sz w:val="20"/>
        </w:rPr>
        <w:t xml:space="preserve">место трудоустройства - муниципальное образование автономного округа, в котором осуществляется трудовая деятельность гражданина;</w:t>
      </w:r>
    </w:p>
    <w:p>
      <w:pPr>
        <w:pStyle w:val="0"/>
        <w:spacing w:before="200" w:line-rule="auto"/>
        <w:ind w:firstLine="540"/>
        <w:jc w:val="both"/>
      </w:pPr>
      <w:r>
        <w:rPr>
          <w:sz w:val="20"/>
        </w:rPr>
        <w:t xml:space="preserve">выплаты - меры государственной поддержки, предоставляемые гражданам автономного округа либо других субъектов Российской Федерации при переезде к месту трудоустройства у работодателя, включенного в </w:t>
      </w:r>
      <w:hyperlink w:history="0" r:id="rId546"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w:t>
      </w:r>
    </w:p>
    <w:p>
      <w:pPr>
        <w:pStyle w:val="0"/>
        <w:jc w:val="both"/>
      </w:pPr>
      <w:r>
        <w:rPr>
          <w:sz w:val="20"/>
        </w:rPr>
      </w:r>
    </w:p>
    <w:p>
      <w:pPr>
        <w:pStyle w:val="2"/>
        <w:outlineLvl w:val="1"/>
        <w:jc w:val="center"/>
      </w:pPr>
      <w:r>
        <w:rPr>
          <w:sz w:val="20"/>
        </w:rPr>
        <w:t xml:space="preserve">II. Назначение выплат и их размеры</w:t>
      </w:r>
    </w:p>
    <w:p>
      <w:pPr>
        <w:pStyle w:val="0"/>
        <w:jc w:val="both"/>
      </w:pPr>
      <w:r>
        <w:rPr>
          <w:sz w:val="20"/>
        </w:rPr>
      </w:r>
    </w:p>
    <w:bookmarkStart w:id="3607" w:name="P3607"/>
    <w:bookmarkEnd w:id="3607"/>
    <w:p>
      <w:pPr>
        <w:pStyle w:val="0"/>
        <w:ind w:firstLine="540"/>
        <w:jc w:val="both"/>
      </w:pPr>
      <w:r>
        <w:rPr>
          <w:sz w:val="20"/>
        </w:rPr>
        <w:t xml:space="preserve">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w:t>
      </w:r>
      <w:hyperlink w:history="0" r:id="rId547"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из бюджета автономного округа предоставляются выплаты в виде:</w:t>
      </w:r>
    </w:p>
    <w:bookmarkStart w:id="3608" w:name="P3608"/>
    <w:bookmarkEnd w:id="3608"/>
    <w:p>
      <w:pPr>
        <w:pStyle w:val="0"/>
        <w:spacing w:before="200" w:line-rule="auto"/>
        <w:ind w:firstLine="540"/>
        <w:jc w:val="both"/>
      </w:pPr>
      <w:r>
        <w:rPr>
          <w:sz w:val="20"/>
        </w:rPr>
        <w:t xml:space="preserve">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w:t>
      </w:r>
    </w:p>
    <w:p>
      <w:pPr>
        <w:pStyle w:val="0"/>
        <w:spacing w:before="200" w:line-rule="auto"/>
        <w:ind w:firstLine="540"/>
        <w:jc w:val="both"/>
      </w:pPr>
      <w:r>
        <w:rPr>
          <w:sz w:val="20"/>
        </w:rPr>
        <w:t xml:space="preserve">железнодорожным транспортом - в плацкартном вагоне пассажирского поезда;</w:t>
      </w:r>
    </w:p>
    <w:p>
      <w:pPr>
        <w:pStyle w:val="0"/>
        <w:spacing w:before="200" w:line-rule="auto"/>
        <w:ind w:firstLine="540"/>
        <w:jc w:val="both"/>
      </w:pPr>
      <w:r>
        <w:rPr>
          <w:sz w:val="20"/>
        </w:rPr>
        <w:t xml:space="preserve">внутренним водным транспортом - на местах III категории кают судов транспортных маршрутов (при наличии на судне), а при отсутствии спальных мест - на сидячих местах;</w:t>
      </w:r>
    </w:p>
    <w:p>
      <w:pPr>
        <w:pStyle w:val="0"/>
        <w:spacing w:before="200" w:line-rule="auto"/>
        <w:ind w:firstLine="540"/>
        <w:jc w:val="both"/>
      </w:pPr>
      <w:r>
        <w:rPr>
          <w:sz w:val="20"/>
        </w:rPr>
        <w:t xml:space="preserve">воздушным транспортом - в салоне экономического класса самолетов (при условии отсутствия железнодорожного сообщения);</w:t>
      </w:r>
    </w:p>
    <w:p>
      <w:pPr>
        <w:pStyle w:val="0"/>
        <w:spacing w:before="200" w:line-rule="auto"/>
        <w:ind w:firstLine="540"/>
        <w:jc w:val="both"/>
      </w:pPr>
      <w:r>
        <w:rPr>
          <w:sz w:val="20"/>
        </w:rPr>
        <w:t xml:space="preserve">автомобильным транспортом - в автобусах междугородного сообщения;</w:t>
      </w:r>
    </w:p>
    <w:bookmarkStart w:id="3613" w:name="P3613"/>
    <w:bookmarkEnd w:id="3613"/>
    <w:p>
      <w:pPr>
        <w:pStyle w:val="0"/>
        <w:spacing w:before="200" w:line-rule="auto"/>
        <w:ind w:firstLine="540"/>
        <w:jc w:val="both"/>
      </w:pPr>
      <w:r>
        <w:rPr>
          <w:sz w:val="20"/>
        </w:rPr>
        <w:t xml:space="preserve">б) компенсации расходов на жилищно-бытовое обустройство работника и членов его семьи, в том числе: компенсация расходов за наем (аренду) жилого помещения, компенсация расходов по оплате коммунальных услуг, приобретение предметов обычной домашней обстановки (кухонной утвари, постельных принадлежностей, мебели, бытовой техники, электрических и газовых плит, установок для фильтрации воды), приобретение инженерного оборудования, бытовых водо-, тепло- и газоустановок, септиков, устройств для водоподачи и водоотведения - в размере фактических расходов, подтвержденных документами, но не более 100 тыс. рублей на семью;</w:t>
      </w:r>
    </w:p>
    <w:p>
      <w:pPr>
        <w:pStyle w:val="0"/>
        <w:jc w:val="both"/>
      </w:pPr>
      <w:r>
        <w:rPr>
          <w:sz w:val="20"/>
        </w:rPr>
        <w:t xml:space="preserve">(пп. "б" в ред. </w:t>
      </w:r>
      <w:hyperlink w:history="0" r:id="rId54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bookmarkStart w:id="3615" w:name="P3615"/>
    <w:bookmarkEnd w:id="3615"/>
    <w:p>
      <w:pPr>
        <w:pStyle w:val="0"/>
        <w:spacing w:before="200" w:line-rule="auto"/>
        <w:ind w:firstLine="540"/>
        <w:jc w:val="both"/>
      </w:pPr>
      <w:r>
        <w:rPr>
          <w:sz w:val="20"/>
        </w:rPr>
        <w:t xml:space="preserve">в) компенсации расходов на провоз личного имущества гражданина к месту трудоустройства железнодорожным, водным и автомобильным транспортом - в размере фактических расходов, подтвержденных документами, но не более 50 тыс. рублей на семью.</w:t>
      </w:r>
    </w:p>
    <w:p>
      <w:pPr>
        <w:pStyle w:val="0"/>
        <w:jc w:val="both"/>
      </w:pPr>
      <w:r>
        <w:rPr>
          <w:sz w:val="20"/>
        </w:rPr>
        <w:t xml:space="preserve">(в ред. </w:t>
      </w:r>
      <w:hyperlink w:history="0" r:id="rId54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При отсутствии указанных видов транспорта компенсируются расходы по провозу имущества воздушным транспортом до ближайшей к месту трудоустройства железнодорожной станции или до ближайшего речного порта, открытого для навигации в данное время;</w:t>
      </w:r>
    </w:p>
    <w:p>
      <w:pPr>
        <w:pStyle w:val="0"/>
        <w:spacing w:before="200" w:line-rule="auto"/>
        <w:ind w:firstLine="540"/>
        <w:jc w:val="both"/>
      </w:pPr>
      <w:r>
        <w:rPr>
          <w:sz w:val="20"/>
        </w:rPr>
        <w:t xml:space="preserve">г) - д) утратили силу. - </w:t>
      </w:r>
      <w:hyperlink w:history="0" r:id="rId550"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13.05.2022 N 194-п.</w:t>
      </w:r>
    </w:p>
    <w:p>
      <w:pPr>
        <w:pStyle w:val="0"/>
        <w:spacing w:before="200" w:line-rule="auto"/>
        <w:ind w:firstLine="540"/>
        <w:jc w:val="both"/>
      </w:pPr>
      <w:r>
        <w:rPr>
          <w:sz w:val="20"/>
        </w:rPr>
        <w:t xml:space="preserve">2.2. Расходы, понесенные гражданином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pPr>
        <w:pStyle w:val="0"/>
        <w:spacing w:before="200" w:line-rule="auto"/>
        <w:ind w:firstLine="540"/>
        <w:jc w:val="both"/>
      </w:pPr>
      <w:r>
        <w:rPr>
          <w:sz w:val="20"/>
        </w:rPr>
        <w:t xml:space="preserve">2.3. При провозе личного имущества несколькими видами транспорта компенсации подлежит общая сумма расходов в пределах средств, предусмотренных </w:t>
      </w:r>
      <w:hyperlink w:history="0" w:anchor="P3615" w:tooltip="в) компенсации расходов на провоз личного имущества гражданина к месту трудоустройства железнодорожным, водным и автомобильным транспортом - в размере фактических расходов, подтвержденных документами, но не более 50 тыс. рублей на семью.">
        <w:r>
          <w:rPr>
            <w:sz w:val="20"/>
            <w:color w:val="0000ff"/>
          </w:rPr>
          <w:t xml:space="preserve">подпунктом "в" пункта 2.1</w:t>
        </w:r>
      </w:hyperlink>
      <w:r>
        <w:rPr>
          <w:sz w:val="20"/>
        </w:rPr>
        <w:t xml:space="preserve"> Порядка.</w:t>
      </w:r>
    </w:p>
    <w:bookmarkStart w:id="3621" w:name="P3621"/>
    <w:bookmarkEnd w:id="3621"/>
    <w:p>
      <w:pPr>
        <w:pStyle w:val="0"/>
        <w:spacing w:before="200" w:line-rule="auto"/>
        <w:ind w:firstLine="540"/>
        <w:jc w:val="both"/>
      </w:pPr>
      <w:r>
        <w:rPr>
          <w:sz w:val="20"/>
        </w:rPr>
        <w:t xml:space="preserve">2.4. Выплаты, установленные </w:t>
      </w:r>
      <w:hyperlink w:history="0" w:anchor="P3607"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r>
          <w:rPr>
            <w:sz w:val="20"/>
            <w:color w:val="0000ff"/>
          </w:rPr>
          <w:t xml:space="preserve">пунктом 2.1</w:t>
        </w:r>
      </w:hyperlink>
      <w:r>
        <w:rPr>
          <w:sz w:val="20"/>
        </w:rPr>
        <w:t xml:space="preserve"> Порядка, осуществляются при условии осуществления трудовой деятельности гражданином у работодателя, включенного в </w:t>
      </w:r>
      <w:hyperlink w:history="0" r:id="rId551"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в течение не менее 2 лет.</w:t>
      </w:r>
    </w:p>
    <w:p>
      <w:pPr>
        <w:pStyle w:val="0"/>
        <w:spacing w:before="200" w:line-rule="auto"/>
        <w:ind w:firstLine="540"/>
        <w:jc w:val="both"/>
      </w:pPr>
      <w:r>
        <w:rPr>
          <w:sz w:val="20"/>
        </w:rPr>
        <w:t xml:space="preserve">2.5. Гражданину, переехавшему из другого муниципального образования автономного округа либо из другого субъекта Российской Федерации для трудоустройства у работодателя, включенного в </w:t>
      </w:r>
      <w:hyperlink w:history="0" r:id="rId552"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и замещающему рабочее место, освободившееся в связи с призывом работника на военную службу в Вооруженные Силы Российской Федерации по мобилизации, предоставляются выплаты в соответствии с </w:t>
      </w:r>
      <w:hyperlink w:history="0" w:anchor="P3608" w:tooltip="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
        <w:r>
          <w:rPr>
            <w:sz w:val="20"/>
            <w:color w:val="0000ff"/>
          </w:rPr>
          <w:t xml:space="preserve">подпунктом "а" пункта 2.1</w:t>
        </w:r>
      </w:hyperlink>
      <w:r>
        <w:rPr>
          <w:sz w:val="20"/>
        </w:rPr>
        <w:t xml:space="preserve"> Порядка.</w:t>
      </w:r>
    </w:p>
    <w:p>
      <w:pPr>
        <w:pStyle w:val="0"/>
        <w:spacing w:before="200" w:line-rule="auto"/>
        <w:ind w:firstLine="540"/>
        <w:jc w:val="both"/>
      </w:pPr>
      <w:r>
        <w:rPr>
          <w:sz w:val="20"/>
        </w:rPr>
        <w:t xml:space="preserve">Условие, предусмотренное </w:t>
      </w:r>
      <w:hyperlink w:history="0" w:anchor="P3621" w:tooltip="2.4. Выплаты, установленные пунктом 2.1 Порядка, осуществляются при условии осуществления трудовой деятельности гражданином у работодателя, включенного в подпрограмму 3 в течение не менее 2 лет.">
        <w:r>
          <w:rPr>
            <w:sz w:val="20"/>
            <w:color w:val="0000ff"/>
          </w:rPr>
          <w:t xml:space="preserve">пунктом 2.4</w:t>
        </w:r>
      </w:hyperlink>
      <w:r>
        <w:rPr>
          <w:sz w:val="20"/>
        </w:rPr>
        <w:t xml:space="preserve"> Порядка, не применяется для граждан, замещающих рабочие места, освободившиеся в связи с призывом работников на военную службу в Вооруженные Силы Российской Федерации по мобилизации.</w:t>
      </w:r>
    </w:p>
    <w:p>
      <w:pPr>
        <w:pStyle w:val="0"/>
        <w:jc w:val="both"/>
      </w:pPr>
      <w:r>
        <w:rPr>
          <w:sz w:val="20"/>
        </w:rPr>
        <w:t xml:space="preserve">(п. 2.5 введен </w:t>
      </w:r>
      <w:hyperlink w:history="0" r:id="rId553" w:tooltip="Постановление Правительства ХМАО - Югры от 18.11.2022 N 609-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18.11.2022 N 609-п)</w:t>
      </w:r>
    </w:p>
    <w:p>
      <w:pPr>
        <w:pStyle w:val="0"/>
        <w:jc w:val="both"/>
      </w:pPr>
      <w:r>
        <w:rPr>
          <w:sz w:val="20"/>
        </w:rPr>
      </w:r>
    </w:p>
    <w:p>
      <w:pPr>
        <w:pStyle w:val="2"/>
        <w:outlineLvl w:val="1"/>
        <w:jc w:val="center"/>
      </w:pPr>
      <w:r>
        <w:rPr>
          <w:sz w:val="20"/>
        </w:rPr>
        <w:t xml:space="preserve">III. Порядок получения гражданином выплат</w:t>
      </w:r>
    </w:p>
    <w:p>
      <w:pPr>
        <w:pStyle w:val="0"/>
        <w:jc w:val="both"/>
      </w:pPr>
      <w:r>
        <w:rPr>
          <w:sz w:val="20"/>
        </w:rPr>
      </w:r>
    </w:p>
    <w:bookmarkStart w:id="3628" w:name="P3628"/>
    <w:bookmarkEnd w:id="3628"/>
    <w:p>
      <w:pPr>
        <w:pStyle w:val="0"/>
        <w:ind w:firstLine="540"/>
        <w:jc w:val="both"/>
      </w:pPr>
      <w:r>
        <w:rPr>
          <w:sz w:val="20"/>
        </w:rPr>
        <w:t xml:space="preserve">3.1. В целях получения выплат, предусмотренных </w:t>
      </w:r>
      <w:hyperlink w:history="0" w:anchor="P3607"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r>
          <w:rPr>
            <w:sz w:val="20"/>
            <w:color w:val="0000ff"/>
          </w:rPr>
          <w:t xml:space="preserve">пунктом 2.1</w:t>
        </w:r>
      </w:hyperlink>
      <w:r>
        <w:rPr>
          <w:sz w:val="20"/>
        </w:rPr>
        <w:t xml:space="preserve"> Порядка, гражданин в течение 60 рабочих дней с момента его трудоустройства у работодателя, включенного в </w:t>
      </w:r>
      <w:hyperlink w:history="0" r:id="rId554"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представляет в центр занятости населения по месту трудоустройства следующие документы:</w:t>
      </w:r>
    </w:p>
    <w:bookmarkStart w:id="3629" w:name="P3629"/>
    <w:bookmarkEnd w:id="3629"/>
    <w:p>
      <w:pPr>
        <w:pStyle w:val="0"/>
        <w:spacing w:before="200" w:line-rule="auto"/>
        <w:ind w:firstLine="540"/>
        <w:jc w:val="both"/>
      </w:pPr>
      <w:r>
        <w:rPr>
          <w:sz w:val="20"/>
        </w:rPr>
        <w:t xml:space="preserve">3.1.1. Заявление по установленной Департаментом форме.</w:t>
      </w:r>
    </w:p>
    <w:p>
      <w:pPr>
        <w:pStyle w:val="0"/>
        <w:spacing w:before="200" w:line-rule="auto"/>
        <w:ind w:firstLine="540"/>
        <w:jc w:val="both"/>
      </w:pPr>
      <w:r>
        <w:rPr>
          <w:sz w:val="20"/>
        </w:rPr>
        <w:t xml:space="preserve">3.1.2. Документы, удостоверяющие личность гражданина и членов его семьи.</w:t>
      </w:r>
    </w:p>
    <w:p>
      <w:pPr>
        <w:pStyle w:val="0"/>
        <w:spacing w:before="200" w:line-rule="auto"/>
        <w:ind w:firstLine="540"/>
        <w:jc w:val="both"/>
      </w:pPr>
      <w:r>
        <w:rPr>
          <w:sz w:val="20"/>
        </w:rPr>
        <w:t xml:space="preserve">3.1.3. Подлинники проездных и перевозочных документов (билетов, багажных и грузобагажных квитанций, других транспортных документов), подтверждающих расходы гражданина и членов его семьи, а также копии документов, связанных с перемещением личного имущества гражданина.</w:t>
      </w:r>
    </w:p>
    <w:p>
      <w:pPr>
        <w:pStyle w:val="0"/>
        <w:spacing w:before="200" w:line-rule="auto"/>
        <w:ind w:firstLine="540"/>
        <w:jc w:val="both"/>
      </w:pPr>
      <w:r>
        <w:rPr>
          <w:sz w:val="20"/>
        </w:rPr>
        <w:t xml:space="preserve">При проезде в условиях повышенной комфортности гражданин и члены его семьи дополнительно представляют выданный перевозчиком документ о стоимости проезда в соответствии с </w:t>
      </w:r>
      <w:hyperlink w:history="0" w:anchor="P3608" w:tooltip="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
        <w:r>
          <w:rPr>
            <w:sz w:val="20"/>
            <w:color w:val="0000ff"/>
          </w:rPr>
          <w:t xml:space="preserve">подпунктом "а" пункта 2.1</w:t>
        </w:r>
      </w:hyperlink>
      <w:r>
        <w:rPr>
          <w:sz w:val="20"/>
        </w:rPr>
        <w:t xml:space="preserve"> Порядка на соответствующем виде транспорта на дату осуществления поездки.</w:t>
      </w:r>
    </w:p>
    <w:p>
      <w:pPr>
        <w:pStyle w:val="0"/>
        <w:spacing w:before="200" w:line-rule="auto"/>
        <w:ind w:firstLine="540"/>
        <w:jc w:val="both"/>
      </w:pPr>
      <w:r>
        <w:rPr>
          <w:sz w:val="20"/>
        </w:rPr>
        <w:t xml:space="preserve">3.1.4. Копии документов, подтверждающих постановку гражданина и членов его семьи в установленном порядке на регистрационный учет по месту пребывания либо по месту жительства.</w:t>
      </w:r>
    </w:p>
    <w:p>
      <w:pPr>
        <w:pStyle w:val="0"/>
        <w:spacing w:before="200" w:line-rule="auto"/>
        <w:ind w:firstLine="540"/>
        <w:jc w:val="both"/>
      </w:pPr>
      <w:r>
        <w:rPr>
          <w:sz w:val="20"/>
        </w:rPr>
        <w:t xml:space="preserve">3.1.5. Копию трудового договора, подтверждающего трудоустройство у работодателя, включенного в </w:t>
      </w:r>
      <w:hyperlink w:history="0" r:id="rId555"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w:t>
      </w:r>
    </w:p>
    <w:p>
      <w:pPr>
        <w:pStyle w:val="0"/>
        <w:spacing w:before="200" w:line-rule="auto"/>
        <w:ind w:firstLine="540"/>
        <w:jc w:val="both"/>
      </w:pPr>
      <w:r>
        <w:rPr>
          <w:sz w:val="20"/>
        </w:rPr>
        <w:t xml:space="preserve">3.1.6. Реквизиты лицевого банковского счета в кредитном учреждении, расположенном в муниципальном образовании автономного округа, для перечисления денежных средств.</w:t>
      </w:r>
    </w:p>
    <w:bookmarkStart w:id="3636" w:name="P3636"/>
    <w:bookmarkEnd w:id="3636"/>
    <w:p>
      <w:pPr>
        <w:pStyle w:val="0"/>
        <w:spacing w:before="200" w:line-rule="auto"/>
        <w:ind w:firstLine="540"/>
        <w:jc w:val="both"/>
      </w:pPr>
      <w:r>
        <w:rPr>
          <w:sz w:val="20"/>
        </w:rPr>
        <w:t xml:space="preserve">3.1.7. Копию договора найма жилого помещения (с предъявлением оригинала).</w:t>
      </w:r>
    </w:p>
    <w:p>
      <w:pPr>
        <w:pStyle w:val="0"/>
        <w:spacing w:before="200" w:line-rule="auto"/>
        <w:ind w:firstLine="540"/>
        <w:jc w:val="both"/>
      </w:pPr>
      <w:r>
        <w:rPr>
          <w:sz w:val="20"/>
        </w:rPr>
        <w:t xml:space="preserve">3.1.8. Авансовый отчет с приложением документов, подтверждающих расходы по оплате проживания за прошедший период проживания (счет-фактура, квитанция, иной документ, подтверждающий получение наймодателем денежных средств от гражданина).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2.1 Порядка пп. 2.1.3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3.1.9. Копии документов, подтверждающие оплату коммунальных услуг и расходы на жилищно-бытовое обустройство работника и членов его семьи, предусмотренные подпунктом 2.1.3 пункта 2.1 Порядка (квитанции, кассовые и товарные чеки, договоры, акты выполненных работ, накладные, счета-фактуры и иные платежные документы).</w:t>
      </w:r>
    </w:p>
    <w:p>
      <w:pPr>
        <w:pStyle w:val="0"/>
        <w:jc w:val="both"/>
      </w:pPr>
      <w:r>
        <w:rPr>
          <w:sz w:val="20"/>
        </w:rPr>
        <w:t xml:space="preserve">(пп. 3.1.9 введен </w:t>
      </w:r>
      <w:hyperlink w:history="0" r:id="rId55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spacing w:before="200" w:line-rule="auto"/>
        <w:ind w:firstLine="540"/>
        <w:jc w:val="both"/>
      </w:pPr>
      <w:r>
        <w:rPr>
          <w:sz w:val="20"/>
        </w:rPr>
        <w:t xml:space="preserve">3.2. Копии документов, указанных в </w:t>
      </w:r>
      <w:hyperlink w:history="0" w:anchor="P3628" w:tooltip="3.1. В целях получения выплат, предусмотренных пунктом 2.1 Порядка, гражданин в течение 60 рабочих дней с момента его трудоустройства у работодателя, включенного в подпрограмму 3, представляет в центр занятости населения по месту трудоустройства следующие документы:">
        <w:r>
          <w:rPr>
            <w:sz w:val="20"/>
            <w:color w:val="0000ff"/>
          </w:rPr>
          <w:t xml:space="preserve">пункте 3.1</w:t>
        </w:r>
      </w:hyperlink>
      <w:r>
        <w:rPr>
          <w:sz w:val="20"/>
        </w:rPr>
        <w:t xml:space="preserve"> Порядка, не заверенные в установленном порядке, представляются с предъявлением оригинала.</w:t>
      </w:r>
    </w:p>
    <w:p>
      <w:pPr>
        <w:pStyle w:val="0"/>
        <w:spacing w:before="200" w:line-rule="auto"/>
        <w:ind w:firstLine="540"/>
        <w:jc w:val="both"/>
      </w:pPr>
      <w:r>
        <w:rPr>
          <w:sz w:val="20"/>
        </w:rPr>
        <w:t xml:space="preserve">3.3. В случае если гражданин не может лично подать документы, указанные в </w:t>
      </w:r>
      <w:hyperlink w:history="0" w:anchor="P3628" w:tooltip="3.1. В целях получения выплат, предусмотренных пунктом 2.1 Порядка, гражданин в течение 60 рабочих дней с момента его трудоустройства у работодателя, включенного в подпрограмму 3, представляет в центр занятости населения по месту трудоустройства следующие документы:">
        <w:r>
          <w:rPr>
            <w:sz w:val="20"/>
            <w:color w:val="0000ff"/>
          </w:rPr>
          <w:t xml:space="preserve">пункте 3.1</w:t>
        </w:r>
      </w:hyperlink>
      <w:r>
        <w:rPr>
          <w:sz w:val="20"/>
        </w:rPr>
        <w:t xml:space="preserve"> Порядка, документы могут быть переданы через его законного представителя, в этом случае подлинность подписи гражданина должна быть нотариально заверена.</w:t>
      </w:r>
    </w:p>
    <w:p>
      <w:pPr>
        <w:pStyle w:val="0"/>
        <w:spacing w:before="200" w:line-rule="auto"/>
        <w:ind w:firstLine="540"/>
        <w:jc w:val="both"/>
      </w:pPr>
      <w:r>
        <w:rPr>
          <w:sz w:val="20"/>
        </w:rPr>
        <w:t xml:space="preserve">3.4. Выплаты гражданину, установленные </w:t>
      </w:r>
      <w:hyperlink w:history="0" w:anchor="P3607"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r>
          <w:rPr>
            <w:sz w:val="20"/>
            <w:color w:val="0000ff"/>
          </w:rPr>
          <w:t xml:space="preserve">пунктом 2.1</w:t>
        </w:r>
      </w:hyperlink>
      <w:r>
        <w:rPr>
          <w:sz w:val="20"/>
        </w:rPr>
        <w:t xml:space="preserve"> Порядка (за исключением выплаты за наем (аренду) жилого помещения и/или оплату коммунальных услуг), производятся однократно путем перечисления в установленном порядке соответствующей суммы на счет гражданина, открытый в кредитном учреждении, расположенном в муниципальном образовании автономного округа.</w:t>
      </w:r>
    </w:p>
    <w:p>
      <w:pPr>
        <w:pStyle w:val="0"/>
        <w:jc w:val="both"/>
      </w:pPr>
      <w:r>
        <w:rPr>
          <w:sz w:val="20"/>
        </w:rPr>
        <w:t xml:space="preserve">(в ред. </w:t>
      </w:r>
      <w:hyperlink w:history="0" r:id="rId557"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3.5. Решение о выплате/отказе в предоставлении выплат, установленных </w:t>
      </w:r>
      <w:hyperlink w:history="0" w:anchor="P3607"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r>
          <w:rPr>
            <w:sz w:val="20"/>
            <w:color w:val="0000ff"/>
          </w:rPr>
          <w:t xml:space="preserve">пунктом 2.1</w:t>
        </w:r>
      </w:hyperlink>
      <w:r>
        <w:rPr>
          <w:sz w:val="20"/>
        </w:rPr>
        <w:t xml:space="preserve"> Порядка, принимается центром занятости населения в срок, не превышающий 15 рабочих дней с даты подачи заявления, и оформляется правовым локальным актом центра занятости населения.</w:t>
      </w:r>
    </w:p>
    <w:p>
      <w:pPr>
        <w:pStyle w:val="0"/>
        <w:spacing w:before="200" w:line-rule="auto"/>
        <w:ind w:firstLine="540"/>
        <w:jc w:val="both"/>
      </w:pPr>
      <w:r>
        <w:rPr>
          <w:sz w:val="20"/>
        </w:rPr>
        <w:t xml:space="preserve">3.6. Информация о принятом решении доводится гражданину в течение 3 рабочих дней со дня его принятия.</w:t>
      </w:r>
    </w:p>
    <w:p>
      <w:pPr>
        <w:pStyle w:val="0"/>
        <w:spacing w:before="200" w:line-rule="auto"/>
        <w:ind w:firstLine="540"/>
        <w:jc w:val="both"/>
      </w:pPr>
      <w:r>
        <w:rPr>
          <w:sz w:val="20"/>
        </w:rPr>
        <w:t xml:space="preserve">3.7. Отказ в предоставлении выплат, установленных </w:t>
      </w:r>
      <w:hyperlink w:history="0" w:anchor="P3607" w:tooltip="2.1. Гражданину, проживающему в автономном округе либо другом субъекте Российской Федерации, переезжающему в автономный округ для трудоустройства у работодателя, включенного в подпрограмму 3, из бюджета автономного округа предоставляются выплаты в виде:">
        <w:r>
          <w:rPr>
            <w:sz w:val="20"/>
            <w:color w:val="0000ff"/>
          </w:rPr>
          <w:t xml:space="preserve">пунктом 2.1</w:t>
        </w:r>
      </w:hyperlink>
      <w:r>
        <w:rPr>
          <w:sz w:val="20"/>
        </w:rPr>
        <w:t xml:space="preserve"> Порядка, осуществляется по следующим основаниям:</w:t>
      </w:r>
    </w:p>
    <w:p>
      <w:pPr>
        <w:pStyle w:val="0"/>
        <w:spacing w:before="200" w:line-rule="auto"/>
        <w:ind w:firstLine="540"/>
        <w:jc w:val="both"/>
      </w:pPr>
      <w:r>
        <w:rPr>
          <w:sz w:val="20"/>
        </w:rPr>
        <w:t xml:space="preserve">3.7.1. Представление гражданином недостоверных сведений;</w:t>
      </w:r>
    </w:p>
    <w:p>
      <w:pPr>
        <w:pStyle w:val="0"/>
        <w:spacing w:before="200" w:line-rule="auto"/>
        <w:ind w:firstLine="540"/>
        <w:jc w:val="both"/>
      </w:pPr>
      <w:r>
        <w:rPr>
          <w:sz w:val="20"/>
        </w:rPr>
        <w:t xml:space="preserve">3.7.2. Нетрудоустройство у работодателя, включенного в </w:t>
      </w:r>
      <w:hyperlink w:history="0" r:id="rId558"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подпрограмму 3</w:t>
        </w:r>
      </w:hyperlink>
      <w:r>
        <w:rPr>
          <w:sz w:val="20"/>
        </w:rPr>
        <w:t xml:space="preserve">, без уважительной причины.</w:t>
      </w:r>
    </w:p>
    <w:bookmarkStart w:id="3651" w:name="P3651"/>
    <w:bookmarkEnd w:id="3651"/>
    <w:p>
      <w:pPr>
        <w:pStyle w:val="0"/>
        <w:spacing w:before="200" w:line-rule="auto"/>
        <w:ind w:firstLine="540"/>
        <w:jc w:val="both"/>
      </w:pPr>
      <w:r>
        <w:rPr>
          <w:sz w:val="20"/>
        </w:rPr>
        <w:t xml:space="preserve">3.8. В случае ежемесячного предоставления компенсации расходов за наем (аренду) жилого помещения и/или оплату коммунальных услуг гражданин в течение 3 дней по истечении месяца представляет в центр занятости 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наймодателем денежных средств от гражданина), и предъявляет документ, удостоверяющий его личность, и договор найма жилого помещения.</w:t>
      </w:r>
    </w:p>
    <w:p>
      <w:pPr>
        <w:pStyle w:val="0"/>
        <w:jc w:val="both"/>
      </w:pPr>
      <w:r>
        <w:rPr>
          <w:sz w:val="20"/>
        </w:rPr>
        <w:t xml:space="preserve">(в ред. </w:t>
      </w:r>
      <w:hyperlink w:history="0" r:id="rId559"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3.9. Компенсация расходов за наем жилого помещения перечисляется гражданину на лицевой счет, открытый им в кредитных учреждениях Российской Федерации, или через отделения почтовой связи по адресу проживания в Российской Федерации, указанному гражданином в заявлении согласно </w:t>
      </w:r>
      <w:hyperlink w:history="0" w:anchor="P3629" w:tooltip="3.1.1. Заявление по установленной Департаментом форме.">
        <w:r>
          <w:rPr>
            <w:sz w:val="20"/>
            <w:color w:val="0000ff"/>
          </w:rPr>
          <w:t xml:space="preserve">подпункту 3.1.1 пункта 3.1</w:t>
        </w:r>
      </w:hyperlink>
      <w:r>
        <w:rPr>
          <w:sz w:val="20"/>
        </w:rPr>
        <w:t xml:space="preserve"> Порядка (почтовым переводом).</w:t>
      </w:r>
    </w:p>
    <w:bookmarkStart w:id="3654" w:name="P3654"/>
    <w:bookmarkEnd w:id="3654"/>
    <w:p>
      <w:pPr>
        <w:pStyle w:val="0"/>
        <w:spacing w:before="200" w:line-rule="auto"/>
        <w:ind w:firstLine="540"/>
        <w:jc w:val="both"/>
      </w:pPr>
      <w:r>
        <w:rPr>
          <w:sz w:val="20"/>
        </w:rPr>
        <w:t xml:space="preserve">3.10. Компенсация расходов за наем (аренду) жилого помещения и/или оплату коммунальных услуг прекращается в случаях:</w:t>
      </w:r>
    </w:p>
    <w:p>
      <w:pPr>
        <w:pStyle w:val="0"/>
        <w:jc w:val="both"/>
      </w:pPr>
      <w:r>
        <w:rPr>
          <w:sz w:val="20"/>
        </w:rPr>
        <w:t xml:space="preserve">(в ред. </w:t>
      </w:r>
      <w:hyperlink w:history="0" r:id="rId560"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3.10.1. Представления гражданином документов, содержащих заведомо недостоверные сведения.</w:t>
      </w:r>
    </w:p>
    <w:p>
      <w:pPr>
        <w:pStyle w:val="0"/>
        <w:spacing w:before="200" w:line-rule="auto"/>
        <w:ind w:firstLine="540"/>
        <w:jc w:val="both"/>
      </w:pPr>
      <w:r>
        <w:rPr>
          <w:sz w:val="20"/>
        </w:rPr>
        <w:t xml:space="preserve">3.10.2. Непредставления в полном объеме гражданином документов, указанных в </w:t>
      </w:r>
      <w:hyperlink w:history="0" w:anchor="P3651" w:tooltip="3.8. В случае ежемесячного предоставления компенсации расходов за наем (аренду) жилого помещения и/или оплату коммунальных услуг гражданин в течение 3 дней по истечении месяца представляет в центр занятости населения авансовый отчет с приложением документов, подтверждающих расходы по оплате проживания за прошедший месяц (счет-фактура, квитанция, иной документ, подтверждающий получение наймодателем денежных средств от гражданина), и предъявляет документ, удостоверяющий его личность, и договор найма жилого...">
        <w:r>
          <w:rPr>
            <w:sz w:val="20"/>
            <w:color w:val="0000ff"/>
          </w:rPr>
          <w:t xml:space="preserve">пункте 3.8</w:t>
        </w:r>
      </w:hyperlink>
      <w:r>
        <w:rPr>
          <w:sz w:val="20"/>
        </w:rPr>
        <w:t xml:space="preserve"> Порядка.</w:t>
      </w:r>
    </w:p>
    <w:p>
      <w:pPr>
        <w:pStyle w:val="0"/>
        <w:spacing w:before="200" w:line-rule="auto"/>
        <w:ind w:firstLine="540"/>
        <w:jc w:val="both"/>
      </w:pPr>
      <w:r>
        <w:rPr>
          <w:sz w:val="20"/>
        </w:rPr>
        <w:t xml:space="preserve">3.10.3. Наличия в собственности у гражданина, членов его семьи жилого помещения в муниципальном образовании автономного округа, на территории которого трудоустроен гражданин.</w:t>
      </w:r>
    </w:p>
    <w:p>
      <w:pPr>
        <w:pStyle w:val="0"/>
        <w:spacing w:before="200" w:line-rule="auto"/>
        <w:ind w:firstLine="540"/>
        <w:jc w:val="both"/>
      </w:pPr>
      <w:r>
        <w:rPr>
          <w:sz w:val="20"/>
        </w:rPr>
        <w:t xml:space="preserve">3.10.4. Истечения 3 месяцев с момента прибытия к месту трудоустройства гражданина.</w:t>
      </w:r>
    </w:p>
    <w:p>
      <w:pPr>
        <w:pStyle w:val="0"/>
        <w:spacing w:before="200" w:line-rule="auto"/>
        <w:ind w:firstLine="540"/>
        <w:jc w:val="both"/>
      </w:pPr>
      <w:r>
        <w:rPr>
          <w:sz w:val="20"/>
        </w:rPr>
        <w:t xml:space="preserve">3.10.5. Переезда из места трудоустройства в другое муниципальное образование автономного округа и за пределы автономного округа без уважительной причины, указанной в </w:t>
      </w:r>
      <w:hyperlink w:history="0" w:anchor="P3665" w:tooltip="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
        <w:r>
          <w:rPr>
            <w:sz w:val="20"/>
            <w:color w:val="0000ff"/>
          </w:rPr>
          <w:t xml:space="preserve">пункте 3.13</w:t>
        </w:r>
      </w:hyperlink>
      <w:r>
        <w:rPr>
          <w:sz w:val="20"/>
        </w:rPr>
        <w:t xml:space="preserve"> Порядка.</w:t>
      </w:r>
    </w:p>
    <w:p>
      <w:pPr>
        <w:pStyle w:val="0"/>
        <w:spacing w:before="200" w:line-rule="auto"/>
        <w:ind w:firstLine="540"/>
        <w:jc w:val="both"/>
      </w:pPr>
      <w:r>
        <w:rPr>
          <w:sz w:val="20"/>
        </w:rPr>
        <w:t xml:space="preserve">3.10.6. Непроживания гражданина по адресу, указанному в договоре найма жилого помещения, представленному в соответствии с </w:t>
      </w:r>
      <w:hyperlink w:history="0" w:anchor="P3636" w:tooltip="3.1.7. Копию договора найма жилого помещения (с предъявлением оригинала).">
        <w:r>
          <w:rPr>
            <w:sz w:val="20"/>
            <w:color w:val="0000ff"/>
          </w:rPr>
          <w:t xml:space="preserve">подпунктом 3.1.7 пункта 3.1</w:t>
        </w:r>
      </w:hyperlink>
      <w:r>
        <w:rPr>
          <w:sz w:val="20"/>
        </w:rPr>
        <w:t xml:space="preserve"> Порядка.</w:t>
      </w:r>
    </w:p>
    <w:p>
      <w:pPr>
        <w:pStyle w:val="0"/>
        <w:spacing w:before="200" w:line-rule="auto"/>
        <w:ind w:firstLine="540"/>
        <w:jc w:val="both"/>
      </w:pPr>
      <w:r>
        <w:rPr>
          <w:sz w:val="20"/>
        </w:rPr>
        <w:t xml:space="preserve">3.11. Центр занятости населения письменно уведомляет гражданина о прекращении предоставления компенсации расходов за наем (аренду) жилого помещения и/или оплату коммунальных услуг с указанием причин в течение 2 рабочих дней со дня принятия такого решения.</w:t>
      </w:r>
    </w:p>
    <w:p>
      <w:pPr>
        <w:pStyle w:val="0"/>
        <w:jc w:val="both"/>
      </w:pPr>
      <w:r>
        <w:rPr>
          <w:sz w:val="20"/>
        </w:rPr>
        <w:t xml:space="preserve">(в ред. </w:t>
      </w:r>
      <w:hyperlink w:history="0" r:id="rId561"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3.12. Выплата гражданину компенсации расходов за наем жилого помещения прекращается начиная со дня, следующего за днем, в котором наступили обстоятельства, указанные в </w:t>
      </w:r>
      <w:hyperlink w:history="0" w:anchor="P3654" w:tooltip="3.10. Компенсация расходов за наем (аренду) жилого помещения и/или оплату коммунальных услуг прекращается в случаях:">
        <w:r>
          <w:rPr>
            <w:sz w:val="20"/>
            <w:color w:val="0000ff"/>
          </w:rPr>
          <w:t xml:space="preserve">пункте 3.10</w:t>
        </w:r>
      </w:hyperlink>
      <w:r>
        <w:rPr>
          <w:sz w:val="20"/>
        </w:rPr>
        <w:t xml:space="preserve"> Порядка.</w:t>
      </w:r>
    </w:p>
    <w:bookmarkStart w:id="3665" w:name="P3665"/>
    <w:bookmarkEnd w:id="3665"/>
    <w:p>
      <w:pPr>
        <w:pStyle w:val="0"/>
        <w:spacing w:before="200" w:line-rule="auto"/>
        <w:ind w:firstLine="540"/>
        <w:jc w:val="both"/>
      </w:pPr>
      <w:r>
        <w:rPr>
          <w:sz w:val="20"/>
        </w:rPr>
        <w:t xml:space="preserve">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w:t>
      </w:r>
    </w:p>
    <w:p>
      <w:pPr>
        <w:pStyle w:val="0"/>
        <w:spacing w:before="200" w:line-rule="auto"/>
        <w:ind w:firstLine="540"/>
        <w:jc w:val="both"/>
      </w:pPr>
      <w:r>
        <w:rPr>
          <w:sz w:val="20"/>
        </w:rPr>
        <w:t xml:space="preserve">3.14. В случае переезда гражданина в другое муниципальное образование автономного округа по уважительной причине, указанной в </w:t>
      </w:r>
      <w:hyperlink w:history="0" w:anchor="P3665" w:tooltip="3.13. К уважительной причине, согласно которой гражданин может осуществить переезд в другое муниципальное образование автономного округа, относится перевод на работу в другую местность к тому же работодателю либо в его филиал.">
        <w:r>
          <w:rPr>
            <w:sz w:val="20"/>
            <w:color w:val="0000ff"/>
          </w:rPr>
          <w:t xml:space="preserve">пункте 3.13</w:t>
        </w:r>
      </w:hyperlink>
      <w:r>
        <w:rPr>
          <w:sz w:val="20"/>
        </w:rPr>
        <w:t xml:space="preserve"> Порядка, выплата компенсации расходов за наем (аренду) жилого помещения и/или оплату коммунальных услуг возобновляется начиная со дня прибытия в другое муниципальное образование автономного округа.</w:t>
      </w:r>
    </w:p>
    <w:p>
      <w:pPr>
        <w:pStyle w:val="0"/>
        <w:jc w:val="both"/>
      </w:pPr>
      <w:r>
        <w:rPr>
          <w:sz w:val="20"/>
        </w:rPr>
        <w:t xml:space="preserve">(в ред. </w:t>
      </w:r>
      <w:hyperlink w:history="0" r:id="rId562"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bookmarkStart w:id="3668" w:name="P3668"/>
    <w:bookmarkEnd w:id="3668"/>
    <w:p>
      <w:pPr>
        <w:pStyle w:val="0"/>
        <w:spacing w:before="200" w:line-rule="auto"/>
        <w:ind w:firstLine="540"/>
        <w:jc w:val="both"/>
      </w:pPr>
      <w:r>
        <w:rPr>
          <w:sz w:val="20"/>
        </w:rPr>
        <w:t xml:space="preserve">3.15. Расходы, предусмотренные </w:t>
      </w:r>
      <w:hyperlink w:history="0" w:anchor="P3608" w:tooltip="а) компенсации расходов на проезд к месту трудоустройства в размере фактических расходов, подтвержденных проездными документами, но не выше стоимости проезда, - гражданину и каждому члену семьи, совместно с ним переселяющемуся:">
        <w:r>
          <w:rPr>
            <w:sz w:val="20"/>
            <w:color w:val="0000ff"/>
          </w:rPr>
          <w:t xml:space="preserve">подпунктами "а"</w:t>
        </w:r>
      </w:hyperlink>
      <w:r>
        <w:rPr>
          <w:sz w:val="20"/>
        </w:rPr>
        <w:t xml:space="preserve">, </w:t>
      </w:r>
      <w:hyperlink w:history="0" w:anchor="P3613" w:tooltip="б) компенсации расходов на жилищно-бытовое обустройство работника и членов его семьи, в том числе: компенсация расходов за наем (аренду) жилого помещения, компенсация расходов по оплате коммунальных услуг, приобретение предметов обычной домашней обстановки (кухонной утвари, постельных принадлежностей, мебели, бытовой техники, электрических и газовых плит, установок для фильтрации воды), приобретение инженерного оборудования, бытовых водо-, тепло- и газоустановок, септиков, устройств для водоподачи и водо...">
        <w:r>
          <w:rPr>
            <w:sz w:val="20"/>
            <w:color w:val="0000ff"/>
          </w:rPr>
          <w:t xml:space="preserve">"б"</w:t>
        </w:r>
      </w:hyperlink>
      <w:r>
        <w:rPr>
          <w:sz w:val="20"/>
        </w:rPr>
        <w:t xml:space="preserve"> (в части компенсации расходов за наем (аренду) жилого помещения) и </w:t>
      </w:r>
      <w:hyperlink w:history="0" w:anchor="P3615" w:tooltip="в) компенсации расходов на провоз личного имущества гражданина к месту трудоустройства железнодорожным, водным и автомобильным транспортом - в размере фактических расходов, подтвержденных документами, но не более 50 тыс. рублей на семью.">
        <w:r>
          <w:rPr>
            <w:sz w:val="20"/>
            <w:color w:val="0000ff"/>
          </w:rPr>
          <w:t xml:space="preserve">"в" пункта 2.1</w:t>
        </w:r>
      </w:hyperlink>
      <w:r>
        <w:rPr>
          <w:sz w:val="20"/>
        </w:rPr>
        <w:t xml:space="preserve"> Порядка, не подлежат возмещению в случае предоставления работодателем гражданину, переселяющемуся для трудоустройства, средства передвижения (транспорт) для проезда и провоза личного имущества гражданина, жилого помещения.</w:t>
      </w:r>
    </w:p>
    <w:p>
      <w:pPr>
        <w:pStyle w:val="0"/>
        <w:jc w:val="both"/>
      </w:pPr>
      <w:r>
        <w:rPr>
          <w:sz w:val="20"/>
        </w:rPr>
        <w:t xml:space="preserve">(в ред. </w:t>
      </w:r>
      <w:hyperlink w:history="0" r:id="rId563"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jc w:val="both"/>
      </w:pPr>
      <w:r>
        <w:rPr>
          <w:sz w:val="20"/>
        </w:rPr>
      </w:r>
    </w:p>
    <w:p>
      <w:pPr>
        <w:pStyle w:val="2"/>
        <w:outlineLvl w:val="1"/>
        <w:jc w:val="center"/>
      </w:pPr>
      <w:r>
        <w:rPr>
          <w:sz w:val="20"/>
        </w:rPr>
        <w:t xml:space="preserve">IV. Ответственность, контроль и порядок возврата бюджетных</w:t>
      </w:r>
    </w:p>
    <w:p>
      <w:pPr>
        <w:pStyle w:val="2"/>
        <w:jc w:val="center"/>
      </w:pPr>
      <w:r>
        <w:rPr>
          <w:sz w:val="20"/>
        </w:rPr>
        <w:t xml:space="preserve">средств</w:t>
      </w:r>
    </w:p>
    <w:p>
      <w:pPr>
        <w:pStyle w:val="0"/>
        <w:jc w:val="both"/>
      </w:pPr>
      <w:r>
        <w:rPr>
          <w:sz w:val="20"/>
        </w:rPr>
      </w:r>
    </w:p>
    <w:p>
      <w:pPr>
        <w:pStyle w:val="0"/>
        <w:ind w:firstLine="540"/>
        <w:jc w:val="both"/>
      </w:pPr>
      <w:r>
        <w:rPr>
          <w:sz w:val="20"/>
        </w:rPr>
        <w:t xml:space="preserve">4.1. Обязательным условием предоставления гражданину выплат является его согласие на осуществление Департаментом и органом государственного финансового контроля автономного округа проверки соблюдения гражданином условий, целей и порядка предоставления мер государственной поддержки.</w:t>
      </w:r>
    </w:p>
    <w:p>
      <w:pPr>
        <w:pStyle w:val="0"/>
        <w:spacing w:before="200" w:line-rule="auto"/>
        <w:ind w:firstLine="540"/>
        <w:jc w:val="both"/>
      </w:pPr>
      <w:r>
        <w:rPr>
          <w:sz w:val="20"/>
        </w:rPr>
        <w:t xml:space="preserve">4.2. Департамент и орган государственного финансового контроля автономного округа проводят обязательную проверку соблюдения гражданином условий, целей и порядка предоставления выплат.</w:t>
      </w:r>
    </w:p>
    <w:bookmarkStart w:id="3676" w:name="P3676"/>
    <w:bookmarkEnd w:id="3676"/>
    <w:p>
      <w:pPr>
        <w:pStyle w:val="0"/>
        <w:spacing w:before="200" w:line-rule="auto"/>
        <w:ind w:firstLine="540"/>
        <w:jc w:val="both"/>
      </w:pPr>
      <w:r>
        <w:rPr>
          <w:sz w:val="20"/>
        </w:rPr>
        <w:t xml:space="preserve">4.3. В случае выявления факта нецелевого расходования гражданином бюджетных средств, выявления фактов, указанных в </w:t>
      </w:r>
      <w:hyperlink w:history="0" w:anchor="P3621" w:tooltip="2.4. Выплаты, установленные пунктом 2.1 Порядка, осуществляются при условии осуществления трудовой деятельности гражданином у работодателя, включенного в подпрограмму 3 в течение не менее 2 лет.">
        <w:r>
          <w:rPr>
            <w:sz w:val="20"/>
            <w:color w:val="0000ff"/>
          </w:rPr>
          <w:t xml:space="preserve">пунктах 2.4</w:t>
        </w:r>
      </w:hyperlink>
      <w:r>
        <w:rPr>
          <w:sz w:val="20"/>
        </w:rPr>
        <w:t xml:space="preserve">, </w:t>
      </w:r>
      <w:hyperlink w:history="0" w:anchor="P3668" w:tooltip="3.15. Расходы, предусмотренные подпунктами &quot;а&quot;, &quot;б&quot; (в части компенсации расходов за наем (аренду) жилого помещения) и &quot;в&quot; пункта 2.1 Порядка, не подлежат возмещению в случае предоставления работодателем гражданину, переселяющемуся для трудоустройства, средства передвижения (транспорт) для проезда и провоза личного имущества гражданина, жилого помещения.">
        <w:r>
          <w:rPr>
            <w:sz w:val="20"/>
            <w:color w:val="0000ff"/>
          </w:rPr>
          <w:t xml:space="preserve">3.15</w:t>
        </w:r>
      </w:hyperlink>
      <w:r>
        <w:rPr>
          <w:sz w:val="20"/>
        </w:rPr>
        <w:t xml:space="preserve"> Порядка, они подлежат возврату в бюджет автономного округа.</w:t>
      </w:r>
    </w:p>
    <w:bookmarkStart w:id="3677" w:name="P3677"/>
    <w:bookmarkEnd w:id="3677"/>
    <w:p>
      <w:pPr>
        <w:pStyle w:val="0"/>
        <w:spacing w:before="200" w:line-rule="auto"/>
        <w:ind w:firstLine="540"/>
        <w:jc w:val="both"/>
      </w:pPr>
      <w:r>
        <w:rPr>
          <w:sz w:val="20"/>
        </w:rPr>
        <w:t xml:space="preserve">4.4. Центр занятости населения в течение 15 календарных дней со дня выявления фактов, установленных </w:t>
      </w:r>
      <w:hyperlink w:history="0" w:anchor="P3676" w:tooltip="4.3. В случае выявления факта нецелевого расходования гражданином бюджетных средств, выявления фактов, указанных в пунктах 2.4, 3.15 Порядка, они подлежат возврату в бюджет автономного округа.">
        <w:r>
          <w:rPr>
            <w:sz w:val="20"/>
            <w:color w:val="0000ff"/>
          </w:rPr>
          <w:t xml:space="preserve">пунктом 4.3</w:t>
        </w:r>
      </w:hyperlink>
      <w:r>
        <w:rPr>
          <w:sz w:val="20"/>
        </w:rPr>
        <w:t xml:space="preserve"> Порядка, направляет гражданину мотивированное требование о возврате бюджетных средств.</w:t>
      </w:r>
    </w:p>
    <w:p>
      <w:pPr>
        <w:pStyle w:val="0"/>
        <w:spacing w:before="200" w:line-rule="auto"/>
        <w:ind w:firstLine="540"/>
        <w:jc w:val="both"/>
      </w:pPr>
      <w:r>
        <w:rPr>
          <w:sz w:val="20"/>
        </w:rPr>
        <w:t xml:space="preserve">4.5. Возврат бюджетных средств в бюджет автономного округа осуществляет гражданин в течение 10 календарных дней с момента получения требования, указанного в </w:t>
      </w:r>
      <w:hyperlink w:history="0" w:anchor="P3677" w:tooltip="4.4. Центр занятости населения в течение 15 календарных дней со дня выявления фактов, установленных пунктом 4.3 Порядка, направляет гражданину мотивированное требование о возврате бюджетных средств.">
        <w:r>
          <w:rPr>
            <w:sz w:val="20"/>
            <w:color w:val="0000ff"/>
          </w:rPr>
          <w:t xml:space="preserve">пункте 4.4</w:t>
        </w:r>
      </w:hyperlink>
      <w:r>
        <w:rPr>
          <w:sz w:val="20"/>
        </w:rPr>
        <w:t xml:space="preserve"> Порядка.</w:t>
      </w:r>
    </w:p>
    <w:p>
      <w:pPr>
        <w:pStyle w:val="0"/>
        <w:spacing w:before="200" w:line-rule="auto"/>
        <w:ind w:firstLine="540"/>
        <w:jc w:val="both"/>
      </w:pPr>
      <w:r>
        <w:rPr>
          <w:sz w:val="20"/>
        </w:rPr>
        <w:t xml:space="preserve">4.6. В случае отказа гражданина от возврата бюджетных средств в добровольном порядке взыскание осуществляется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4.7. Осуществление контроля за фактическим проживанием гражданина, а также членов его семьи осуществляет в период предоставления компенсации расходов за наем жилого помещения центр занятости населения.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15</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СУБСИДИИ СОЦИАЛЬНО ОРИЕНТИРОВАННЫМ</w:t>
      </w:r>
    </w:p>
    <w:p>
      <w:pPr>
        <w:pStyle w:val="2"/>
        <w:jc w:val="center"/>
      </w:pPr>
      <w:r>
        <w:rPr>
          <w:sz w:val="20"/>
        </w:rPr>
        <w:t xml:space="preserve">НЕКОММЕРЧЕСКИМ ОРГАНИЗАЦИЯМ ИЗ БЮДЖЕТА ХАНТЫ-МАНСИЙСКОГО</w:t>
      </w:r>
    </w:p>
    <w:p>
      <w:pPr>
        <w:pStyle w:val="2"/>
        <w:jc w:val="center"/>
      </w:pPr>
      <w:r>
        <w:rPr>
          <w:sz w:val="20"/>
        </w:rPr>
        <w:t xml:space="preserve">АВТОНОМНОГО ОКРУГА - ЮГРЫ НА ФИНАНСОВОЕ ОБЕСПЕЧЕНИЕ ЗАТРАТ,</w:t>
      </w:r>
    </w:p>
    <w:p>
      <w:pPr>
        <w:pStyle w:val="2"/>
        <w:jc w:val="center"/>
      </w:pPr>
      <w:r>
        <w:rPr>
          <w:sz w:val="20"/>
        </w:rPr>
        <w:t xml:space="preserve">СВЯЗАННЫХ С РЕАЛИЗАЦИЕЙ МЕРОПРИЯТИЙ ПО ОРГАНИЗАЦИИ ЯРМАРОК</w:t>
      </w:r>
    </w:p>
    <w:p>
      <w:pPr>
        <w:pStyle w:val="2"/>
        <w:jc w:val="center"/>
      </w:pPr>
      <w:r>
        <w:rPr>
          <w:sz w:val="20"/>
        </w:rPr>
        <w:t xml:space="preserve">ВАКАНСИЙ И УЧЕБНЫХ РАБОЧИХ МЕСТ (ДАЛЕЕ - ПОРЯДОК)</w:t>
      </w:r>
    </w:p>
    <w:p>
      <w:pPr>
        <w:pStyle w:val="0"/>
        <w:jc w:val="both"/>
      </w:pPr>
      <w:r>
        <w:rPr>
          <w:sz w:val="20"/>
        </w:rPr>
      </w:r>
    </w:p>
    <w:p>
      <w:pPr>
        <w:pStyle w:val="0"/>
        <w:ind w:firstLine="540"/>
        <w:jc w:val="both"/>
      </w:pPr>
      <w:r>
        <w:rPr>
          <w:sz w:val="20"/>
        </w:rPr>
        <w:t xml:space="preserve">Утратил силу с 17 марта 2023 года. - </w:t>
      </w:r>
      <w:hyperlink w:history="0" r:id="rId564" w:tooltip="Постановление Правительства ХМАО - Югры от 17.03.2023 N 9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w:t>
        </w:r>
      </w:hyperlink>
      <w:r>
        <w:rPr>
          <w:sz w:val="20"/>
        </w:rPr>
        <w:t xml:space="preserve"> Правительства ХМАО - Югры от 17.03.2023 N 93-п.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16</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p>
      <w:pPr>
        <w:pStyle w:val="2"/>
        <w:jc w:val="center"/>
      </w:pPr>
      <w:r>
        <w:rPr>
          <w:sz w:val="20"/>
        </w:rPr>
        <w:t xml:space="preserve">ПОРЯДОК</w:t>
      </w:r>
    </w:p>
    <w:p>
      <w:pPr>
        <w:pStyle w:val="2"/>
        <w:jc w:val="center"/>
      </w:pPr>
      <w:r>
        <w:rPr>
          <w:sz w:val="20"/>
        </w:rPr>
        <w:t xml:space="preserve">ПРЕДОСТАВЛЕНИЯ ГРАНТА В ФОРМЕ СУБСИДИИ ИЗ БЮДЖЕТА</w:t>
      </w:r>
    </w:p>
    <w:p>
      <w:pPr>
        <w:pStyle w:val="2"/>
        <w:jc w:val="center"/>
      </w:pPr>
      <w:r>
        <w:rPr>
          <w:sz w:val="20"/>
        </w:rPr>
        <w:t xml:space="preserve">ХАНТЫ-МАНСИЙСКОГО АВТОНОМНОГО ОКРУГА - ЮГРЫ НА ПОДДЕРЖКУ</w:t>
      </w:r>
    </w:p>
    <w:p>
      <w:pPr>
        <w:pStyle w:val="2"/>
        <w:jc w:val="center"/>
      </w:pPr>
      <w:r>
        <w:rPr>
          <w:sz w:val="20"/>
        </w:rPr>
        <w:t xml:space="preserve">СОЦИАЛЬНО ЗНАЧИМЫХ ПРОЕКТОВ, НАПРАВЛЕННЫХ НА ОРГАНИЗАЦИЮ</w:t>
      </w:r>
    </w:p>
    <w:p>
      <w:pPr>
        <w:pStyle w:val="2"/>
        <w:jc w:val="center"/>
      </w:pPr>
      <w:r>
        <w:rPr>
          <w:sz w:val="20"/>
        </w:rPr>
        <w:t xml:space="preserve">СЛУЖБ СОПРОВОЖДЕНИЯ ПРИ СОДЕЙСТВИИ ЗАНЯТОСТИ ИНВАЛИДОВ</w:t>
      </w:r>
    </w:p>
    <w:p>
      <w:pPr>
        <w:pStyle w:val="2"/>
        <w:jc w:val="center"/>
      </w:pPr>
      <w:r>
        <w:rPr>
          <w:sz w:val="20"/>
        </w:rPr>
        <w:t xml:space="preserve">(ДАЛЕЕ - ПОРЯДОК)</w:t>
      </w:r>
    </w:p>
    <w:p>
      <w:pPr>
        <w:pStyle w:val="0"/>
        <w:jc w:val="both"/>
      </w:pPr>
      <w:r>
        <w:rPr>
          <w:sz w:val="20"/>
        </w:rPr>
      </w:r>
    </w:p>
    <w:p>
      <w:pPr>
        <w:pStyle w:val="0"/>
        <w:ind w:firstLine="540"/>
        <w:jc w:val="both"/>
      </w:pPr>
      <w:r>
        <w:rPr>
          <w:sz w:val="20"/>
        </w:rPr>
        <w:t xml:space="preserve">Утратил силу с 20 января 2023 года. - </w:t>
      </w:r>
      <w:hyperlink w:history="0" r:id="rId565" w:tooltip="Постановление Правительства ХМАО - Югры от 20.01.2023 N 17-п (ред. от 17.11.2023) &quot;О предоставлении субсидий из бюджета Ханты-Мансийского автономного округа - Югры, в том числе грантов в форме субсидий, юридическим лицам, индивидуальным предпринимателям, физическим лицам - производителям товаров, работ, услуг, некоммерческим организациям&quot; (вместе с &quot;Порядком предоставления грантов в форме субсидий из бюджета Ханты-Мансийского автономного округа - Югры юридическим лицам, индивидуальным предпринимателям, физи {КонсультантПлюс}">
        <w:r>
          <w:rPr>
            <w:sz w:val="20"/>
            <w:color w:val="0000ff"/>
          </w:rPr>
          <w:t xml:space="preserve">Постановление</w:t>
        </w:r>
      </w:hyperlink>
      <w:r>
        <w:rPr>
          <w:sz w:val="20"/>
        </w:rPr>
        <w:t xml:space="preserve"> Правительства ХМАО - Югры от 20.01.2023 N 17-п.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17</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3730" w:name="P3730"/>
    <w:bookmarkEnd w:id="3730"/>
    <w:p>
      <w:pPr>
        <w:pStyle w:val="2"/>
        <w:jc w:val="center"/>
      </w:pPr>
      <w:r>
        <w:rPr>
          <w:sz w:val="20"/>
        </w:rPr>
        <w:t xml:space="preserve">ПОРЯДОК</w:t>
      </w:r>
    </w:p>
    <w:p>
      <w:pPr>
        <w:pStyle w:val="2"/>
        <w:jc w:val="center"/>
      </w:pPr>
      <w:r>
        <w:rPr>
          <w:sz w:val="20"/>
        </w:rPr>
        <w:t xml:space="preserve">ПРЕДОСТАВЛЕНИЯ СУБСИДИИ НА ПОДДЕРЖКУ СОЦИАЛЬНО ЗНАЧИМЫХ</w:t>
      </w:r>
    </w:p>
    <w:p>
      <w:pPr>
        <w:pStyle w:val="2"/>
        <w:jc w:val="center"/>
      </w:pPr>
      <w:r>
        <w:rPr>
          <w:sz w:val="20"/>
        </w:rPr>
        <w:t xml:space="preserve">ПРОГРАММ СОЦИАЛЬНО ОРИЕНТИРОВАННЫХ НЕКОММЕРЧЕСКИХ</w:t>
      </w:r>
    </w:p>
    <w:p>
      <w:pPr>
        <w:pStyle w:val="2"/>
        <w:jc w:val="center"/>
      </w:pPr>
      <w:r>
        <w:rPr>
          <w:sz w:val="20"/>
        </w:rPr>
        <w:t xml:space="preserve">ОРГАНИЗАЦИЙ ИНВАЛИДОВ, В ТОМ ЧИСЛЕ ПО СОЗДАНИЮ РАБОЧИХ МЕСТ</w:t>
      </w:r>
    </w:p>
    <w:p>
      <w:pPr>
        <w:pStyle w:val="2"/>
        <w:jc w:val="center"/>
      </w:pPr>
      <w:r>
        <w:rPr>
          <w:sz w:val="20"/>
        </w:rPr>
        <w:t xml:space="preserve">И ОБЕСПЕЧЕНИЮ ДОСТУПНОСТИ РАБОЧИХ МЕСТ ИНВАЛИДОВ</w:t>
      </w:r>
    </w:p>
    <w:p>
      <w:pPr>
        <w:pStyle w:val="2"/>
        <w:jc w:val="center"/>
      </w:pPr>
      <w:r>
        <w:rPr>
          <w:sz w:val="20"/>
        </w:rPr>
        <w:t xml:space="preserve">(ДАЛЕЕ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ХМАО - Югры от 13.05.2022 </w:t>
            </w:r>
            <w:hyperlink w:history="0" r:id="rId566"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194-п</w:t>
              </w:r>
            </w:hyperlink>
            <w:r>
              <w:rPr>
                <w:sz w:val="20"/>
                <w:color w:val="392c69"/>
              </w:rPr>
              <w:t xml:space="preserve">,</w:t>
            </w:r>
          </w:p>
          <w:p>
            <w:pPr>
              <w:pStyle w:val="0"/>
              <w:jc w:val="center"/>
            </w:pPr>
            <w:r>
              <w:rPr>
                <w:sz w:val="20"/>
                <w:color w:val="392c69"/>
              </w:rPr>
              <w:t xml:space="preserve">от 14.10.2022 </w:t>
            </w:r>
            <w:hyperlink w:history="0" r:id="rId567"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разработан в соответствии с Бюджетным </w:t>
      </w:r>
      <w:hyperlink w:history="0" r:id="rId56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569"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регламентирует процедуру предоставления субсидии из бюджета Ханты-Мансийского автономного округа - Югры социально ориентированным некоммерческим организациям инвалидов по направлению "Поддержка социально значимых программ общественных организаций инвалидов, в том числе по созданию рабочих мест и обеспечению доступности рабочих мест инвалидов" основного </w:t>
      </w:r>
      <w:hyperlink w:history="0" r:id="rId57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мероприятия 4.1</w:t>
        </w:r>
      </w:hyperlink>
      <w:r>
        <w:rPr>
          <w:sz w:val="20"/>
        </w:rPr>
        <w:t xml:space="preserve"> "Оказание комплексной помощи и сопровождения при трудоустройстве инвалидам, детям-инвалидам в возрасте от 14 до 18 лет, обратившимся в органы службы занятости" подпрограммы 4 "Содействие трудоустройству лиц с инвалидностью" государственной программы Ханты-Мансийского автономного округа - Югры "Поддержка занятости населения", утвержденной постановлением Правительства Ханты-Мансийского автономного округа - Югры от 31 октября 2021 года N 472-п (далее - мероприятие, государственная программа, автономный округ, субсидия).</w:t>
      </w:r>
    </w:p>
    <w:p>
      <w:pPr>
        <w:pStyle w:val="0"/>
        <w:spacing w:before="200" w:line-rule="auto"/>
        <w:ind w:firstLine="540"/>
        <w:jc w:val="both"/>
      </w:pPr>
      <w:r>
        <w:rPr>
          <w:sz w:val="20"/>
        </w:rPr>
        <w:t xml:space="preserve">1.2. В Порядке используются следующие основные понятия и сокращения:</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Программа - социально значимая программа с периодом реализации на территории автономного округа не менее 1 года, содержащая комплекс взаимоувязанных мероприятий, направленных на оказание помощи инвалидам в решении вопросов трудоустройства, в том числе по созданию рабочих мест для инвалидов, обеспечению доступности рабочих мест инвалидов;</w:t>
      </w:r>
    </w:p>
    <w:p>
      <w:pPr>
        <w:pStyle w:val="0"/>
        <w:spacing w:before="200" w:line-rule="auto"/>
        <w:ind w:firstLine="540"/>
        <w:jc w:val="both"/>
      </w:pPr>
      <w:r>
        <w:rPr>
          <w:sz w:val="20"/>
        </w:rPr>
        <w:t xml:space="preserve">Отбор - определение получателей субсидии на основании конкурса;</w:t>
      </w:r>
    </w:p>
    <w:p>
      <w:pPr>
        <w:pStyle w:val="0"/>
        <w:spacing w:before="200" w:line-rule="auto"/>
        <w:ind w:firstLine="540"/>
        <w:jc w:val="both"/>
      </w:pPr>
      <w:r>
        <w:rPr>
          <w:sz w:val="20"/>
        </w:rPr>
        <w:t xml:space="preserve">исполнитель общественно полезных услуг - социально ориентированная некоммерческая организация, признанная в соответствии с действующим законодательством Российской Федерации исполнителем общественно полезной услуги "Организация сопровождения при содействии занятости и самозанятости инвалидов" и включенная в реестр некоммерческих организаций - исполнителей общественно полезных услуг;</w:t>
      </w:r>
    </w:p>
    <w:p>
      <w:pPr>
        <w:pStyle w:val="0"/>
        <w:spacing w:before="200" w:line-rule="auto"/>
        <w:ind w:firstLine="540"/>
        <w:jc w:val="both"/>
      </w:pPr>
      <w:r>
        <w:rPr>
          <w:sz w:val="20"/>
        </w:rPr>
        <w:t xml:space="preserve">Заявитель - социально ориентированная некоммерческая организация инвалидов (созданная в форме общественной организации), в том числе исполнитель общественно полезных услуг, соответствующая условиям, установленным </w:t>
      </w:r>
      <w:hyperlink w:history="0" r:id="rId571" w:tooltip="Закон ХМАО - Югры от 16.12.2010 N 229-оз (ред. от 20.04.2023)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принят Думой Ханты-Мансийского автономного округа - Югры 15.12.2010) {КонсультантПлюс}">
        <w:r>
          <w:rPr>
            <w:sz w:val="20"/>
            <w:color w:val="0000ff"/>
          </w:rPr>
          <w:t xml:space="preserve">статьей 4</w:t>
        </w:r>
      </w:hyperlink>
      <w:r>
        <w:rPr>
          <w:sz w:val="20"/>
        </w:rP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представившая программу для участия в отборе с целью получения субсидии;</w:t>
      </w:r>
    </w:p>
    <w:p>
      <w:pPr>
        <w:pStyle w:val="0"/>
        <w:spacing w:before="200" w:line-rule="auto"/>
        <w:ind w:firstLine="540"/>
        <w:jc w:val="both"/>
      </w:pPr>
      <w:r>
        <w:rPr>
          <w:sz w:val="20"/>
        </w:rPr>
        <w:t xml:space="preserve">Получатель субсидии - Заявитель, в отношении которого принято решение о предоставлении субсидии;</w:t>
      </w:r>
    </w:p>
    <w:p>
      <w:pPr>
        <w:pStyle w:val="0"/>
        <w:spacing w:before="200" w:line-rule="auto"/>
        <w:ind w:firstLine="540"/>
        <w:jc w:val="both"/>
      </w:pPr>
      <w:r>
        <w:rPr>
          <w:sz w:val="20"/>
        </w:rPr>
        <w:t xml:space="preserve">Соглашение - соглашение о предоставлении из бюджета автономного округа субсидии, заключаемое между Получателем субсидии и Департаментом;</w:t>
      </w:r>
    </w:p>
    <w:p>
      <w:pPr>
        <w:pStyle w:val="0"/>
        <w:spacing w:before="200" w:line-rule="auto"/>
        <w:ind w:firstLine="540"/>
        <w:jc w:val="both"/>
      </w:pPr>
      <w:r>
        <w:rPr>
          <w:sz w:val="20"/>
        </w:rPr>
        <w:t xml:space="preserve">Комиссия - коллегиальный орган, созданный Департаментом в целях рассмотрения и оценки программ, входящих в состав заявок, предусмотренных </w:t>
      </w:r>
      <w:hyperlink w:history="0" w:anchor="P3776" w:tooltip="2.3. Для участия в отборе Заявитель либо уполномоченное им лицо представляет в Департамент Заявку, в которую входят:">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1.3. Субсидию предоставляет Департамент,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 в пределах реализации государственной программы.</w:t>
      </w:r>
    </w:p>
    <w:bookmarkStart w:id="3753" w:name="P3753"/>
    <w:bookmarkEnd w:id="3753"/>
    <w:p>
      <w:pPr>
        <w:pStyle w:val="0"/>
        <w:spacing w:before="200" w:line-rule="auto"/>
        <w:ind w:firstLine="540"/>
        <w:jc w:val="both"/>
      </w:pPr>
      <w:r>
        <w:rPr>
          <w:sz w:val="20"/>
        </w:rPr>
        <w:t xml:space="preserve">1.4. Субсидия предоставляется с целью финансового обеспечения затрат, связанных с реализацией программы.</w:t>
      </w:r>
    </w:p>
    <w:bookmarkStart w:id="3754" w:name="P3754"/>
    <w:bookmarkEnd w:id="3754"/>
    <w:p>
      <w:pPr>
        <w:pStyle w:val="0"/>
        <w:spacing w:before="200" w:line-rule="auto"/>
        <w:ind w:firstLine="540"/>
        <w:jc w:val="both"/>
      </w:pPr>
      <w:r>
        <w:rPr>
          <w:sz w:val="20"/>
        </w:rPr>
        <w:t xml:space="preserve">1.5. Критерием отбора является соответствие программ, представленных Заявителями, следующим критериям оценки:</w:t>
      </w:r>
    </w:p>
    <w:p>
      <w:pPr>
        <w:pStyle w:val="0"/>
        <w:spacing w:before="200" w:line-rule="auto"/>
        <w:ind w:firstLine="540"/>
        <w:jc w:val="both"/>
      </w:pPr>
      <w:r>
        <w:rPr>
          <w:sz w:val="20"/>
        </w:rPr>
        <w:t xml:space="preserve">актуальность и социальная значимость программы;</w:t>
      </w:r>
    </w:p>
    <w:p>
      <w:pPr>
        <w:pStyle w:val="0"/>
        <w:spacing w:before="200" w:line-rule="auto"/>
        <w:ind w:firstLine="540"/>
        <w:jc w:val="both"/>
      </w:pPr>
      <w:r>
        <w:rPr>
          <w:sz w:val="20"/>
        </w:rPr>
        <w:t xml:space="preserve">масштаб реализации программы;</w:t>
      </w:r>
    </w:p>
    <w:p>
      <w:pPr>
        <w:pStyle w:val="0"/>
        <w:spacing w:before="200" w:line-rule="auto"/>
        <w:ind w:firstLine="540"/>
        <w:jc w:val="both"/>
      </w:pPr>
      <w:r>
        <w:rPr>
          <w:sz w:val="20"/>
        </w:rPr>
        <w:t xml:space="preserve">обоснованность планируемых расходов на реализацию программы;</w:t>
      </w:r>
    </w:p>
    <w:p>
      <w:pPr>
        <w:pStyle w:val="0"/>
        <w:spacing w:before="200" w:line-rule="auto"/>
        <w:ind w:firstLine="540"/>
        <w:jc w:val="both"/>
      </w:pPr>
      <w:r>
        <w:rPr>
          <w:sz w:val="20"/>
        </w:rPr>
        <w:t xml:space="preserve">результаты реализации программы;</w:t>
      </w:r>
    </w:p>
    <w:p>
      <w:pPr>
        <w:pStyle w:val="0"/>
        <w:spacing w:before="200" w:line-rule="auto"/>
        <w:ind w:firstLine="540"/>
        <w:jc w:val="both"/>
      </w:pPr>
      <w:r>
        <w:rPr>
          <w:sz w:val="20"/>
        </w:rPr>
        <w:t xml:space="preserve">наличие опыта реализации и перспектив развития программы.</w:t>
      </w:r>
    </w:p>
    <w:p>
      <w:pPr>
        <w:pStyle w:val="0"/>
        <w:spacing w:before="200" w:line-rule="auto"/>
        <w:ind w:firstLine="540"/>
        <w:jc w:val="both"/>
      </w:pPr>
      <w:r>
        <w:rPr>
          <w:sz w:val="20"/>
        </w:rPr>
        <w:t xml:space="preserve">1.6. Отбор проводит Департамент ежегодно посредством конкурса.</w:t>
      </w:r>
    </w:p>
    <w:p>
      <w:pPr>
        <w:pStyle w:val="0"/>
        <w:spacing w:before="200" w:line-rule="auto"/>
        <w:ind w:firstLine="540"/>
        <w:jc w:val="both"/>
      </w:pPr>
      <w:r>
        <w:rPr>
          <w:sz w:val="20"/>
        </w:rPr>
        <w:t xml:space="preserve">1.7. Департамент размещает сведения о субсидии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автономного округа на очередной финансовый год и плановый период (проекта закона о внесении изменений в него) (при наличии технической возможности).</w:t>
      </w:r>
    </w:p>
    <w:p>
      <w:pPr>
        <w:pStyle w:val="0"/>
        <w:jc w:val="both"/>
      </w:pPr>
      <w:r>
        <w:rPr>
          <w:sz w:val="20"/>
        </w:rPr>
      </w:r>
    </w:p>
    <w:p>
      <w:pPr>
        <w:pStyle w:val="2"/>
        <w:outlineLvl w:val="1"/>
        <w:jc w:val="center"/>
      </w:pPr>
      <w:r>
        <w:rPr>
          <w:sz w:val="20"/>
        </w:rPr>
        <w:t xml:space="preserve">2. Порядок проведения отбора</w:t>
      </w:r>
    </w:p>
    <w:p>
      <w:pPr>
        <w:pStyle w:val="0"/>
        <w:jc w:val="both"/>
      </w:pPr>
      <w:r>
        <w:rPr>
          <w:sz w:val="20"/>
        </w:rPr>
      </w:r>
    </w:p>
    <w:p>
      <w:pPr>
        <w:pStyle w:val="0"/>
        <w:ind w:firstLine="540"/>
        <w:jc w:val="both"/>
      </w:pPr>
      <w:r>
        <w:rPr>
          <w:sz w:val="20"/>
        </w:rPr>
        <w:t xml:space="preserve">2.1. Департамент за 25 календарных дней до начала отбора и приема заявок на участие в отборе, указанных в </w:t>
      </w:r>
      <w:hyperlink w:history="0" w:anchor="P3776" w:tooltip="2.3. Для участия в отборе Заявитель либо уполномоченное им лицо представляет в Департамент Заявку, в которую входят:">
        <w:r>
          <w:rPr>
            <w:sz w:val="20"/>
            <w:color w:val="0000ff"/>
          </w:rPr>
          <w:t xml:space="preserve">пункте 2.3</w:t>
        </w:r>
      </w:hyperlink>
      <w:r>
        <w:rPr>
          <w:sz w:val="20"/>
        </w:rPr>
        <w:t xml:space="preserve"> Порядка (далее - Заявка), размещает на едином портале (при наличии технической возможности), информационной платформе Грантгубернатора.рф и на своем официальном сайте в информационно-телекоммуникационной сети Интернет (</w:t>
      </w:r>
      <w:r>
        <w:rPr>
          <w:sz w:val="20"/>
        </w:rPr>
        <w:t xml:space="preserve">http://www.deptrud.admhmao.ru</w:t>
      </w:r>
      <w:r>
        <w:rPr>
          <w:sz w:val="20"/>
        </w:rPr>
        <w:t xml:space="preserve">) (далее - официальный сайт) в разделе "Конкурсы" объявление о проведении отбора, которое содержит информацию, предусмотренную </w:t>
      </w:r>
      <w:hyperlink w:history="0" r:id="rId572"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подпунктом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w:t>
      </w:r>
    </w:p>
    <w:p>
      <w:pPr>
        <w:pStyle w:val="0"/>
        <w:jc w:val="both"/>
      </w:pPr>
      <w:r>
        <w:rPr>
          <w:sz w:val="20"/>
        </w:rPr>
        <w:t xml:space="preserve">(в ред. </w:t>
      </w:r>
      <w:hyperlink w:history="0" r:id="rId573"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bookmarkStart w:id="3768" w:name="P3768"/>
    <w:bookmarkEnd w:id="3768"/>
    <w:p>
      <w:pPr>
        <w:pStyle w:val="0"/>
        <w:spacing w:before="200" w:line-rule="auto"/>
        <w:ind w:firstLine="540"/>
        <w:jc w:val="both"/>
      </w:pPr>
      <w:r>
        <w:rPr>
          <w:sz w:val="20"/>
        </w:rPr>
        <w:t xml:space="preserve">2.2. Заявители на 1-е число месяца, предшествующего месяцу, в котором проводится отбор, должны соответствовать следующим требованиям:</w:t>
      </w:r>
    </w:p>
    <w:p>
      <w:pPr>
        <w:pStyle w:val="0"/>
        <w:spacing w:before="200" w:line-rule="auto"/>
        <w:ind w:firstLine="540"/>
        <w:jc w:val="both"/>
      </w:pPr>
      <w:r>
        <w:rPr>
          <w:sz w:val="20"/>
        </w:rPr>
        <w:t xml:space="preserve">являться социально ориентированной некоммерческой организацией, созданной в форме общественной организацией инвалидов, имеющей государственную регистрацию в качестве юридического лица, и осуществлять свою деятельность в автономном округе на основании сведений выписки из Единого государственного реестра юридических лиц и соответствовать условиям, установленным </w:t>
      </w:r>
      <w:hyperlink w:history="0" r:id="rId574" w:tooltip="Закон ХМАО - Югры от 16.12.2010 N 229-оз (ред. от 20.04.2023) &quot;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quot; (принят Думой Ханты-Мансийского автономного округа - Югры 15.12.2010) {КонсультантПлюс}">
        <w:r>
          <w:rPr>
            <w:sz w:val="20"/>
            <w:color w:val="0000ff"/>
          </w:rPr>
          <w:t xml:space="preserve">статьей 4</w:t>
        </w:r>
      </w:hyperlink>
      <w:r>
        <w:rPr>
          <w:sz w:val="20"/>
        </w:rPr>
        <w:t xml:space="preserve"> Закона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pPr>
        <w:pStyle w:val="0"/>
        <w:spacing w:before="200" w:line-rule="auto"/>
        <w:ind w:firstLine="540"/>
        <w:jc w:val="both"/>
      </w:pPr>
      <w:r>
        <w:rPr>
          <w:sz w:val="20"/>
        </w:rPr>
        <w:t xml:space="preserve">не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автономным округом на основании информации, полученной из документа, предусмотренного </w:t>
      </w:r>
      <w:hyperlink w:history="0" w:anchor="P3779" w:tooltip="справка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
        <w:r>
          <w:rPr>
            <w:sz w:val="20"/>
            <w:color w:val="0000ff"/>
          </w:rPr>
          <w:t xml:space="preserve">абзацем четвертым пункта 2.3</w:t>
        </w:r>
      </w:hyperlink>
      <w:r>
        <w:rPr>
          <w:sz w:val="20"/>
        </w:rPr>
        <w:t xml:space="preserve"> Порядка;</w:t>
      </w:r>
    </w:p>
    <w:p>
      <w:pPr>
        <w:pStyle w:val="0"/>
        <w:spacing w:before="200" w:line-rule="auto"/>
        <w:ind w:firstLine="540"/>
        <w:jc w:val="both"/>
      </w:pPr>
      <w:r>
        <w:rPr>
          <w:sz w:val="20"/>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основании сведений Федеральной налоговой службы;</w:t>
      </w:r>
    </w:p>
    <w:p>
      <w:pPr>
        <w:pStyle w:val="0"/>
        <w:spacing w:before="200" w:line-rule="auto"/>
        <w:ind w:firstLine="540"/>
        <w:jc w:val="both"/>
      </w:pPr>
      <w:r>
        <w:rPr>
          <w:sz w:val="20"/>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на основании сведений Федеральной налоговой службы;</w:t>
      </w:r>
    </w:p>
    <w:p>
      <w:pPr>
        <w:pStyle w:val="0"/>
        <w:spacing w:before="200" w:line-rule="auto"/>
        <w:ind w:firstLine="540"/>
        <w:jc w:val="both"/>
      </w:pPr>
      <w:r>
        <w:rPr>
          <w:sz w:val="20"/>
        </w:rPr>
        <w:t xml:space="preserve">не получать средства из бюджета автономного округа на основании иных нормативных правовых актов на цель, указанную в </w:t>
      </w:r>
      <w:hyperlink w:history="0" w:anchor="P3753" w:tooltip="1.4. Субсидия предоставляется с целью финансового обеспечения затрат, связанных с реализацией программы.">
        <w:r>
          <w:rPr>
            <w:sz w:val="20"/>
            <w:color w:val="0000ff"/>
          </w:rPr>
          <w:t xml:space="preserve">пункте 1.4</w:t>
        </w:r>
      </w:hyperlink>
      <w:r>
        <w:rPr>
          <w:sz w:val="20"/>
        </w:rPr>
        <w:t xml:space="preserve"> Порядка;</w:t>
      </w:r>
    </w:p>
    <w:p>
      <w:pPr>
        <w:pStyle w:val="0"/>
        <w:spacing w:before="200" w:line-rule="auto"/>
        <w:ind w:firstLine="540"/>
        <w:jc w:val="both"/>
      </w:pPr>
      <w:r>
        <w:rPr>
          <w:sz w:val="20"/>
        </w:rPr>
        <w:t xml:space="preserve">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на основании сведений Федеральной налоговой службы.</w:t>
      </w:r>
    </w:p>
    <w:bookmarkStart w:id="3776" w:name="P3776"/>
    <w:bookmarkEnd w:id="3776"/>
    <w:p>
      <w:pPr>
        <w:pStyle w:val="0"/>
        <w:spacing w:before="200" w:line-rule="auto"/>
        <w:ind w:firstLine="540"/>
        <w:jc w:val="both"/>
      </w:pPr>
      <w:r>
        <w:rPr>
          <w:sz w:val="20"/>
        </w:rPr>
        <w:t xml:space="preserve">2.3. Для участия в отборе Заявитель либо уполномоченное им лицо представляет в Департамент Заявку, в которую входят:</w:t>
      </w:r>
    </w:p>
    <w:p>
      <w:pPr>
        <w:pStyle w:val="0"/>
        <w:spacing w:before="200" w:line-rule="auto"/>
        <w:ind w:firstLine="540"/>
        <w:jc w:val="both"/>
      </w:pPr>
      <w:r>
        <w:rPr>
          <w:sz w:val="20"/>
        </w:rPr>
        <w:t xml:space="preserve">заявление по форме, утвержденной Департаментом, содержащее согласие на публикацию (размещение) в информационно-телекоммуникационной сети Интернет сведений о себе, информации о Заявке, иной информации о себе, связанной с проведением отбора;</w:t>
      </w:r>
    </w:p>
    <w:p>
      <w:pPr>
        <w:pStyle w:val="0"/>
        <w:spacing w:before="200" w:line-rule="auto"/>
        <w:ind w:firstLine="540"/>
        <w:jc w:val="both"/>
      </w:pPr>
      <w:r>
        <w:rPr>
          <w:sz w:val="20"/>
        </w:rPr>
        <w:t xml:space="preserve">документы, подтверждающие полномочия лица, действующего от имени Заявителя (в случае обращения представителя Заявителя);</w:t>
      </w:r>
    </w:p>
    <w:bookmarkStart w:id="3779" w:name="P3779"/>
    <w:bookmarkEnd w:id="3779"/>
    <w:p>
      <w:pPr>
        <w:pStyle w:val="0"/>
        <w:spacing w:before="200" w:line-rule="auto"/>
        <w:ind w:firstLine="540"/>
        <w:jc w:val="both"/>
      </w:pPr>
      <w:r>
        <w:rPr>
          <w:sz w:val="20"/>
        </w:rPr>
        <w:t xml:space="preserve">справка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автономным округом (по форме, утвержденной Департаментом);</w:t>
      </w:r>
    </w:p>
    <w:p>
      <w:pPr>
        <w:pStyle w:val="0"/>
        <w:spacing w:before="200" w:line-rule="auto"/>
        <w:ind w:firstLine="540"/>
        <w:jc w:val="both"/>
      </w:pPr>
      <w:r>
        <w:rPr>
          <w:sz w:val="20"/>
        </w:rPr>
        <w:t xml:space="preserve">программу, оформленную в соответствии с требованиями, утвержденными распоряжением Департамента, по направлениям деятельности, предусмотренным </w:t>
      </w:r>
      <w:hyperlink w:history="0" w:anchor="P3875" w:tooltip="3.8. Направлениями деятельности программ являются:">
        <w:r>
          <w:rPr>
            <w:sz w:val="20"/>
            <w:color w:val="0000ff"/>
          </w:rPr>
          <w:t xml:space="preserve">пунктом 3.8</w:t>
        </w:r>
      </w:hyperlink>
      <w:r>
        <w:rPr>
          <w:sz w:val="20"/>
        </w:rPr>
        <w:t xml:space="preserve"> Порядка.</w:t>
      </w:r>
    </w:p>
    <w:bookmarkStart w:id="3781" w:name="P3781"/>
    <w:bookmarkEnd w:id="3781"/>
    <w:p>
      <w:pPr>
        <w:pStyle w:val="0"/>
        <w:spacing w:before="200" w:line-rule="auto"/>
        <w:ind w:firstLine="540"/>
        <w:jc w:val="both"/>
      </w:pPr>
      <w:r>
        <w:rPr>
          <w:sz w:val="20"/>
        </w:rPr>
        <w:t xml:space="preserve">2.4. Заявку, прошитую и пронумерованную, подписанную руководителем или уполномоченным им лицом в соответствии с доверенностью, заверенную печатью (при наличии), Заявитель представляет на бумажном носителе непосредственно или почтовым отправлением в Департамент по адресу, указанному в объявлении о проведении отбора, либо в электронном виде через информационную платформу Грантгубернатора.рф (при этом заявление подписывает собственноручно и заверяет печатью).</w:t>
      </w:r>
    </w:p>
    <w:p>
      <w:pPr>
        <w:pStyle w:val="0"/>
        <w:jc w:val="both"/>
      </w:pPr>
      <w:r>
        <w:rPr>
          <w:sz w:val="20"/>
        </w:rPr>
        <w:t xml:space="preserve">(в ред. </w:t>
      </w:r>
      <w:hyperlink w:history="0" r:id="rId575"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Прием и регистрация Заявки, поступившей в электронной форме, осуществляется в автоматическом режиме на информационной платформе Грантгубернатора.рф и содержит дату и время ее поступления, порядковый номер.</w:t>
      </w:r>
    </w:p>
    <w:p>
      <w:pPr>
        <w:pStyle w:val="0"/>
        <w:jc w:val="both"/>
      </w:pPr>
      <w:r>
        <w:rPr>
          <w:sz w:val="20"/>
        </w:rPr>
        <w:t xml:space="preserve">(абзац введен </w:t>
      </w:r>
      <w:hyperlink w:history="0" r:id="rId576"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2.5. Ответственность за достоверность сведений, содержащихся в Заявке, возлагается на Заявителя в соответствии с действующим законодательством Российской Федерации.</w:t>
      </w:r>
    </w:p>
    <w:p>
      <w:pPr>
        <w:pStyle w:val="0"/>
        <w:spacing w:before="200" w:line-rule="auto"/>
        <w:ind w:firstLine="540"/>
        <w:jc w:val="both"/>
      </w:pPr>
      <w:r>
        <w:rPr>
          <w:sz w:val="20"/>
        </w:rPr>
        <w:t xml:space="preserve">2.6. Департамент регистрирует Заявку в журнале учета документов в день ее поступления на бумажном носителе с указанием порядкового номера, даты и времени поступления, подписи и расшифровки подписи лиц, представивших и принявших ее, или вносит сведения в журнал учета документов в случае ее поступления в электронном виде.</w:t>
      </w:r>
    </w:p>
    <w:p>
      <w:pPr>
        <w:pStyle w:val="0"/>
        <w:jc w:val="both"/>
      </w:pPr>
      <w:r>
        <w:rPr>
          <w:sz w:val="20"/>
        </w:rPr>
        <w:t xml:space="preserve">(в ред. </w:t>
      </w:r>
      <w:hyperlink w:history="0" r:id="rId577"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2.7. Департамент в течение 1 рабочего дня со дня регистрации Заявки направляет Заявителю на адрес электронной почты, указанный в Заявке, соответствующее уведомление.</w:t>
      </w:r>
    </w:p>
    <w:p>
      <w:pPr>
        <w:pStyle w:val="0"/>
        <w:spacing w:before="200" w:line-rule="auto"/>
        <w:ind w:firstLine="540"/>
        <w:jc w:val="both"/>
      </w:pPr>
      <w:r>
        <w:rPr>
          <w:sz w:val="20"/>
        </w:rPr>
        <w:t xml:space="preserve">2.8. Внесение Заявителем изменений в Заявку или ее отзыв допускается до окончания срока приема Заявок, установленного объявлением о проведении отбора, путем направления Заявителем в Департамент соответствующего обращения.</w:t>
      </w:r>
    </w:p>
    <w:p>
      <w:pPr>
        <w:pStyle w:val="0"/>
        <w:spacing w:before="200" w:line-rule="auto"/>
        <w:ind w:firstLine="540"/>
        <w:jc w:val="both"/>
      </w:pPr>
      <w:r>
        <w:rPr>
          <w:sz w:val="20"/>
        </w:rPr>
        <w:t xml:space="preserve">Внесение изменений в Заявку осуществляется путем представления новой Заявки в соответствии с </w:t>
      </w:r>
      <w:hyperlink w:history="0" w:anchor="P3776" w:tooltip="2.3. Для участия в отборе Заявитель либо уполномоченное им лицо представляет в Департамент Заявку, в которую входят:">
        <w:r>
          <w:rPr>
            <w:sz w:val="20"/>
            <w:color w:val="0000ff"/>
          </w:rPr>
          <w:t xml:space="preserve">пунктом 2.3</w:t>
        </w:r>
      </w:hyperlink>
      <w:r>
        <w:rPr>
          <w:sz w:val="20"/>
        </w:rPr>
        <w:t xml:space="preserve"> Порядка. Ранее поданная Заявка аннулируется и не учитывается при подсчете количества Заявок, зарегистрированных для участия в конкурсном отборе.</w:t>
      </w:r>
    </w:p>
    <w:p>
      <w:pPr>
        <w:pStyle w:val="0"/>
        <w:jc w:val="both"/>
      </w:pPr>
      <w:r>
        <w:rPr>
          <w:sz w:val="20"/>
        </w:rPr>
        <w:t xml:space="preserve">(абзац введен </w:t>
      </w:r>
      <w:hyperlink w:history="0" r:id="rId578"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Отозванная Заявка не учитывается при подсчете количества Заявок, зарегистрированных для участия в конкурсном отборе.</w:t>
      </w:r>
    </w:p>
    <w:p>
      <w:pPr>
        <w:pStyle w:val="0"/>
        <w:jc w:val="both"/>
      </w:pPr>
      <w:r>
        <w:rPr>
          <w:sz w:val="20"/>
        </w:rPr>
        <w:t xml:space="preserve">(абзац введен </w:t>
      </w:r>
      <w:hyperlink w:history="0" r:id="rId579"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14.10.2022 N 510-п)</w:t>
      </w:r>
    </w:p>
    <w:p>
      <w:pPr>
        <w:pStyle w:val="0"/>
        <w:spacing w:before="200" w:line-rule="auto"/>
        <w:ind w:firstLine="540"/>
        <w:jc w:val="both"/>
      </w:pPr>
      <w:r>
        <w:rPr>
          <w:sz w:val="20"/>
        </w:rPr>
        <w:t xml:space="preserve">2.9. Заявитель представляет для участия в отборе не более 1 Заявки.</w:t>
      </w:r>
    </w:p>
    <w:bookmarkStart w:id="3795" w:name="P3795"/>
    <w:bookmarkEnd w:id="3795"/>
    <w:p>
      <w:pPr>
        <w:pStyle w:val="0"/>
        <w:spacing w:before="200" w:line-rule="auto"/>
        <w:ind w:firstLine="540"/>
        <w:jc w:val="both"/>
      </w:pPr>
      <w:r>
        <w:rPr>
          <w:sz w:val="20"/>
        </w:rPr>
        <w:t xml:space="preserve">2.10. Департамент в течение 7 рабочих дней со дня окончания приема Заявок осуществляет проверку Заявителя на соответствие установленным </w:t>
      </w:r>
      <w:hyperlink w:history="0" w:anchor="P3768" w:tooltip="2.2. Заявители на 1-е число месяца, предшествующего месяцу, в котором проводится отбор, должны соответствовать следующим требованиям:">
        <w:r>
          <w:rPr>
            <w:sz w:val="20"/>
            <w:color w:val="0000ff"/>
          </w:rPr>
          <w:t xml:space="preserve">пунктом 2.2</w:t>
        </w:r>
      </w:hyperlink>
      <w:r>
        <w:rPr>
          <w:sz w:val="20"/>
        </w:rPr>
        <w:t xml:space="preserve"> Порядка требованиям путем запроса в порядке межведомственного взаимодействия в соответствии с законодательством Российской Федерации:</w:t>
      </w:r>
    </w:p>
    <w:bookmarkStart w:id="3796" w:name="P3796"/>
    <w:bookmarkEnd w:id="3796"/>
    <w:p>
      <w:pPr>
        <w:pStyle w:val="0"/>
        <w:spacing w:before="200" w:line-rule="auto"/>
        <w:ind w:firstLine="540"/>
        <w:jc w:val="both"/>
      </w:pPr>
      <w:r>
        <w:rPr>
          <w:sz w:val="20"/>
        </w:rPr>
        <w:t xml:space="preserve">выписки из Единого государственного реестра юридических лиц (в Федеральной налоговой службе);</w:t>
      </w:r>
    </w:p>
    <w:bookmarkStart w:id="3797" w:name="P3797"/>
    <w:bookmarkEnd w:id="3797"/>
    <w:p>
      <w:pPr>
        <w:pStyle w:val="0"/>
        <w:spacing w:before="200" w:line-rule="auto"/>
        <w:ind w:firstLine="540"/>
        <w:jc w:val="both"/>
      </w:pPr>
      <w:r>
        <w:rPr>
          <w:sz w:val="20"/>
        </w:rPr>
        <w:t xml:space="preserve">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w:t>
      </w:r>
    </w:p>
    <w:p>
      <w:pPr>
        <w:pStyle w:val="0"/>
        <w:spacing w:before="200" w:line-rule="auto"/>
        <w:ind w:firstLine="540"/>
        <w:jc w:val="both"/>
      </w:pPr>
      <w:r>
        <w:rPr>
          <w:sz w:val="20"/>
        </w:rPr>
        <w:t xml:space="preserve">2.10.1. Заявитель вправе представить документы, указанные в </w:t>
      </w:r>
      <w:hyperlink w:history="0" w:anchor="P3796" w:tooltip="выписки из Единого государственного реестра юридических лиц (в Федеральной налоговой службе);">
        <w:r>
          <w:rPr>
            <w:sz w:val="20"/>
            <w:color w:val="0000ff"/>
          </w:rPr>
          <w:t xml:space="preserve">абзацах втором</w:t>
        </w:r>
      </w:hyperlink>
      <w:r>
        <w:rPr>
          <w:sz w:val="20"/>
        </w:rPr>
        <w:t xml:space="preserve">, </w:t>
      </w:r>
      <w:hyperlink w:history="0" w:anchor="P3797" w:tooltip="сведений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w:r>
          <w:rPr>
            <w:sz w:val="20"/>
            <w:color w:val="0000ff"/>
          </w:rPr>
          <w:t xml:space="preserve">третьем</w:t>
        </w:r>
      </w:hyperlink>
      <w:r>
        <w:rPr>
          <w:sz w:val="20"/>
        </w:rPr>
        <w:t xml:space="preserve"> настоящего пункта, по собственной инициативе при подаче Заявки.</w:t>
      </w:r>
    </w:p>
    <w:p>
      <w:pPr>
        <w:pStyle w:val="0"/>
        <w:spacing w:before="200" w:line-rule="auto"/>
        <w:ind w:firstLine="540"/>
        <w:jc w:val="both"/>
      </w:pPr>
      <w:r>
        <w:rPr>
          <w:sz w:val="20"/>
        </w:rPr>
        <w:t xml:space="preserve">2.10.2. Сведения о дисквалифицированных руководителе или главном бухгалтере Заявителя Департамент проверяет через электронный сервис Федеральной налоговой службы "Реестр дисквалифицированных лиц".</w:t>
      </w:r>
    </w:p>
    <w:p>
      <w:pPr>
        <w:pStyle w:val="0"/>
        <w:spacing w:before="200" w:line-rule="auto"/>
        <w:ind w:firstLine="540"/>
        <w:jc w:val="both"/>
      </w:pPr>
      <w:r>
        <w:rPr>
          <w:sz w:val="20"/>
        </w:rPr>
        <w:t xml:space="preserve">2.10.3. Сведения о неполучении Заявителем средств из бюджета автономного округа на основании иных нормативных правовых актов на цель, указанную в </w:t>
      </w:r>
      <w:hyperlink w:history="0" w:anchor="P3753" w:tooltip="1.4. Субсидия предоставляется с целью финансового обеспечения затрат, связанных с реализацией программы.">
        <w:r>
          <w:rPr>
            <w:sz w:val="20"/>
            <w:color w:val="0000ff"/>
          </w:rPr>
          <w:t xml:space="preserve">пункте 1.4</w:t>
        </w:r>
      </w:hyperlink>
      <w:r>
        <w:rPr>
          <w:sz w:val="20"/>
        </w:rPr>
        <w:t xml:space="preserve"> Порядка, Департамент проверяет на основании справки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автономного округа, и иной просроченной (неурегулированной) задолженности перед бюджетом автономного округа (по форме, утвержденной Департаментом).</w:t>
      </w:r>
    </w:p>
    <w:bookmarkStart w:id="3801" w:name="P3801"/>
    <w:bookmarkEnd w:id="3801"/>
    <w:p>
      <w:pPr>
        <w:pStyle w:val="0"/>
        <w:spacing w:before="200" w:line-rule="auto"/>
        <w:ind w:firstLine="540"/>
        <w:jc w:val="both"/>
      </w:pPr>
      <w:r>
        <w:rPr>
          <w:sz w:val="20"/>
        </w:rPr>
        <w:t xml:space="preserve">2.11.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уведомляет об этом Заявителя в течение 3 рабочих дней со дня получения таких сведений путем направления сообщения по электронной почте, указанной в Заявке.</w:t>
      </w:r>
    </w:p>
    <w:p>
      <w:pPr>
        <w:pStyle w:val="0"/>
        <w:spacing w:before="200" w:line-rule="auto"/>
        <w:ind w:firstLine="540"/>
        <w:jc w:val="both"/>
      </w:pPr>
      <w:r>
        <w:rPr>
          <w:sz w:val="20"/>
        </w:rPr>
        <w:t xml:space="preserve">2.11.1. Заявитель имеет право в течение 5 рабочих дней со дня получения уведомления, указанного в </w:t>
      </w:r>
      <w:hyperlink w:history="0" w:anchor="P3801" w:tooltip="2.11. В случае получения в порядке межведомственного взаимодействия сведений о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епартамент уведомляет об этом Заявителя в течение 3 рабочих дней со дня получения таких сведений путем направления сообщения по электронной почте, указанной в Заявке.">
        <w:r>
          <w:rPr>
            <w:sz w:val="20"/>
            <w:color w:val="0000ff"/>
          </w:rPr>
          <w:t xml:space="preserve">абзаце первом</w:t>
        </w:r>
      </w:hyperlink>
      <w:r>
        <w:rPr>
          <w:sz w:val="20"/>
        </w:rPr>
        <w:t xml:space="preserve"> настоящего пункта, представить на бумажном носителе в Департамент заверенную им справку о состоянии расчетов по налогам, сборам, страховым взносам, пеням, штрафам, процентам организаций и индивидуальных предпринимателей (далее - справка), выданную территориальным органом Федеральной налоговой службы либо полученную самостоятельно заявителем через программные комплексы, предназначенные для формирования и представления отчетности, организации защищенного электронного документооборота, в том числе с органами Федеральной налоговой службы.</w:t>
      </w:r>
    </w:p>
    <w:bookmarkStart w:id="3803" w:name="P3803"/>
    <w:bookmarkEnd w:id="3803"/>
    <w:p>
      <w:pPr>
        <w:pStyle w:val="0"/>
        <w:spacing w:before="200" w:line-rule="auto"/>
        <w:ind w:firstLine="540"/>
        <w:jc w:val="both"/>
      </w:pPr>
      <w:r>
        <w:rPr>
          <w:sz w:val="20"/>
        </w:rPr>
        <w:t xml:space="preserve">2.11.2. В целях проверки достоверности информации, указанной в справке, Департамент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w:t>
      </w:r>
    </w:p>
    <w:bookmarkStart w:id="3804" w:name="P3804"/>
    <w:bookmarkEnd w:id="3804"/>
    <w:p>
      <w:pPr>
        <w:pStyle w:val="0"/>
        <w:spacing w:before="200" w:line-rule="auto"/>
        <w:ind w:firstLine="540"/>
        <w:jc w:val="both"/>
      </w:pPr>
      <w:r>
        <w:rPr>
          <w:sz w:val="20"/>
        </w:rPr>
        <w:t xml:space="preserve">2.12. Департамент в течение 2 рабочих дней после получения сведений, указанных в </w:t>
      </w:r>
      <w:hyperlink w:history="0" w:anchor="P3795" w:tooltip="2.10. Департамент в течение 7 рабочих дней со дня окончания приема Заявок осуществляет проверку Заявителя на соответствие установленным пунктом 2.2 Порядка требованиям путем запроса в порядке межведомственного взаимодействия в соответствии с законодательством Российской Федерации:">
        <w:r>
          <w:rPr>
            <w:sz w:val="20"/>
            <w:color w:val="0000ff"/>
          </w:rPr>
          <w:t xml:space="preserve">пункте 2.10</w:t>
        </w:r>
      </w:hyperlink>
      <w:r>
        <w:rPr>
          <w:sz w:val="20"/>
        </w:rPr>
        <w:t xml:space="preserve"> Порядка, и (или) </w:t>
      </w:r>
      <w:hyperlink w:history="0" w:anchor="P3803" w:tooltip="2.11.2. В целях проверки достоверности информации, указанной в справке, Департамент в течение 7 рабочих дней с даты ее получения запрашивает в порядке межведомственного взаимодействия в соответствии с законодательством Российской Федерации сведения об исполнен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на дату, указанную в справке.">
        <w:r>
          <w:rPr>
            <w:sz w:val="20"/>
            <w:color w:val="0000ff"/>
          </w:rPr>
          <w:t xml:space="preserve">подпункте 2.11.2 пункта 2.11</w:t>
        </w:r>
      </w:hyperlink>
      <w:r>
        <w:rPr>
          <w:sz w:val="20"/>
        </w:rPr>
        <w:t xml:space="preserve"> Порядка, проводит проверку Заявителя на соответствие требованиям, установленным </w:t>
      </w:r>
      <w:hyperlink w:history="0" w:anchor="P3768" w:tooltip="2.2. Заявители на 1-е число месяца, предшествующего месяцу, в котором проводится отбор, должны соответствовать следующим требованиям:">
        <w:r>
          <w:rPr>
            <w:sz w:val="20"/>
            <w:color w:val="0000ff"/>
          </w:rPr>
          <w:t xml:space="preserve">пунктом 2.2</w:t>
        </w:r>
      </w:hyperlink>
      <w:r>
        <w:rPr>
          <w:sz w:val="20"/>
        </w:rPr>
        <w:t xml:space="preserve"> Порядка, а также рассмотрение Заявки на соответствие требованиям, установленным </w:t>
      </w:r>
      <w:hyperlink w:history="0" w:anchor="P3776" w:tooltip="2.3. Для участия в отборе Заявитель либо уполномоченное им лицо представляет в Департамент Заявку, в которую входят:">
        <w:r>
          <w:rPr>
            <w:sz w:val="20"/>
            <w:color w:val="0000ff"/>
          </w:rPr>
          <w:t xml:space="preserve">пунктами 2.3</w:t>
        </w:r>
      </w:hyperlink>
      <w:r>
        <w:rPr>
          <w:sz w:val="20"/>
        </w:rPr>
        <w:t xml:space="preserve">, </w:t>
      </w:r>
      <w:hyperlink w:history="0" w:anchor="P3781" w:tooltip="2.4. Заявку, прошитую и пронумерованную, подписанную руководителем или уполномоченным им лицом в соответствии с доверенностью, заверенную печатью (при наличии), Заявитель представляет на бумажном носителе непосредственно или почтовым отправлением в Департамент по адресу, указанному в объявлении о проведении отбора, либо в электронном виде через информационную платформу Грантгубернатора.рф (при этом заявление подписывает собственноручно и заверяет печатью).">
        <w:r>
          <w:rPr>
            <w:sz w:val="20"/>
            <w:color w:val="0000ff"/>
          </w:rPr>
          <w:t xml:space="preserve">2.4</w:t>
        </w:r>
      </w:hyperlink>
      <w:r>
        <w:rPr>
          <w:sz w:val="20"/>
        </w:rPr>
        <w:t xml:space="preserve"> Порядка.</w:t>
      </w:r>
    </w:p>
    <w:bookmarkStart w:id="3805" w:name="P3805"/>
    <w:bookmarkEnd w:id="3805"/>
    <w:p>
      <w:pPr>
        <w:pStyle w:val="0"/>
        <w:spacing w:before="200" w:line-rule="auto"/>
        <w:ind w:firstLine="540"/>
        <w:jc w:val="both"/>
      </w:pPr>
      <w:r>
        <w:rPr>
          <w:sz w:val="20"/>
        </w:rPr>
        <w:t xml:space="preserve">2.12.1. В течение 2 рабочих дней после окончания проверки Заявителя и рассмотрения Заявки, указанных в </w:t>
      </w:r>
      <w:hyperlink w:history="0" w:anchor="P3804" w:tooltip="2.12. Департамент в течение 2 рабочих дней после получения сведений, указанных в пункте 2.10 Порядка, и (или) подпункте 2.11.2 пункта 2.11 Порядка, проводит проверку Заявителя на соответствие требованиям, установленным пунктом 2.2 Порядка, а также рассмотрение Заявки на соответствие требованиям, установленным пунктами 2.3, 2.4 Порядка.">
        <w:r>
          <w:rPr>
            <w:sz w:val="20"/>
            <w:color w:val="0000ff"/>
          </w:rPr>
          <w:t xml:space="preserve">абзаце первом</w:t>
        </w:r>
      </w:hyperlink>
      <w:r>
        <w:rPr>
          <w:sz w:val="20"/>
        </w:rPr>
        <w:t xml:space="preserve"> настоящего пункта, Департамент принимает решение об отклонении Заявки по основаниям, предусмотренным </w:t>
      </w:r>
      <w:hyperlink w:history="0" w:anchor="P3808" w:tooltip="2.12.2. Основания для отклонения Заявки на стадии рассмотрения:">
        <w:r>
          <w:rPr>
            <w:sz w:val="20"/>
            <w:color w:val="0000ff"/>
          </w:rPr>
          <w:t xml:space="preserve">подпунктом 2.12.2</w:t>
        </w:r>
      </w:hyperlink>
      <w:r>
        <w:rPr>
          <w:sz w:val="20"/>
        </w:rPr>
        <w:t xml:space="preserve"> настоящего пункта, оформленное распоряжением Департамента, либо передает программу, входящую в состав Заявки, в Комиссию для ее рассмотрения и оценки на соответствие критериям, установленным </w:t>
      </w:r>
      <w:hyperlink w:history="0" w:anchor="P3754" w:tooltip="1.5. Критерием отбора является соответствие программ, представленных Заявителями, следующим критериям оценки:">
        <w:r>
          <w:rPr>
            <w:sz w:val="20"/>
            <w:color w:val="0000ff"/>
          </w:rPr>
          <w:t xml:space="preserve">пунктом 1.5</w:t>
        </w:r>
      </w:hyperlink>
      <w:r>
        <w:rPr>
          <w:sz w:val="20"/>
        </w:rPr>
        <w:t xml:space="preserve"> Порядка.</w:t>
      </w:r>
    </w:p>
    <w:p>
      <w:pPr>
        <w:pStyle w:val="0"/>
        <w:spacing w:before="200" w:line-rule="auto"/>
        <w:ind w:firstLine="540"/>
        <w:jc w:val="both"/>
      </w:pPr>
      <w:r>
        <w:rPr>
          <w:sz w:val="20"/>
        </w:rPr>
        <w:t xml:space="preserve">Положение и состав Комиссии Департамент утверждает своим распоряжением. В состав Комиссии включаются члены общественного совета при Департаменте.</w:t>
      </w:r>
    </w:p>
    <w:p>
      <w:pPr>
        <w:pStyle w:val="0"/>
        <w:spacing w:before="200" w:line-rule="auto"/>
        <w:ind w:firstLine="540"/>
        <w:jc w:val="both"/>
      </w:pPr>
      <w:r>
        <w:rPr>
          <w:sz w:val="20"/>
        </w:rPr>
        <w:t xml:space="preserve">В случае принятия решения об отклонении Заявки Департамент уведомляет об этом Заявителя в течение 2 рабочих дней со дня его принятия путем направления почтовым отправлением с уведомлением о вручении извещения о принятом решении с приложением копии распоряжения Департамента.</w:t>
      </w:r>
    </w:p>
    <w:bookmarkStart w:id="3808" w:name="P3808"/>
    <w:bookmarkEnd w:id="3808"/>
    <w:p>
      <w:pPr>
        <w:pStyle w:val="0"/>
        <w:spacing w:before="200" w:line-rule="auto"/>
        <w:ind w:firstLine="540"/>
        <w:jc w:val="both"/>
      </w:pPr>
      <w:r>
        <w:rPr>
          <w:sz w:val="20"/>
        </w:rPr>
        <w:t xml:space="preserve">2.12.2. Основания для отклонения Заявки на стадии рассмотрения:</w:t>
      </w:r>
    </w:p>
    <w:p>
      <w:pPr>
        <w:pStyle w:val="0"/>
        <w:spacing w:before="200" w:line-rule="auto"/>
        <w:ind w:firstLine="540"/>
        <w:jc w:val="both"/>
      </w:pPr>
      <w:r>
        <w:rPr>
          <w:sz w:val="20"/>
        </w:rPr>
        <w:t xml:space="preserve">недостоверность представленной Заявителем информации, в том числе о его месте нахождения и адресе;</w:t>
      </w:r>
    </w:p>
    <w:p>
      <w:pPr>
        <w:pStyle w:val="0"/>
        <w:spacing w:before="200" w:line-rule="auto"/>
        <w:ind w:firstLine="540"/>
        <w:jc w:val="both"/>
      </w:pPr>
      <w:r>
        <w:rPr>
          <w:sz w:val="20"/>
        </w:rPr>
        <w:t xml:space="preserve">несоответствие представленных Заявок требованиям, установленным в объявлении о проведении отбора, в том числе к форме заявления, программы;</w:t>
      </w:r>
    </w:p>
    <w:p>
      <w:pPr>
        <w:pStyle w:val="0"/>
        <w:spacing w:before="200" w:line-rule="auto"/>
        <w:ind w:firstLine="540"/>
        <w:jc w:val="both"/>
      </w:pPr>
      <w:r>
        <w:rPr>
          <w:sz w:val="20"/>
        </w:rPr>
        <w:t xml:space="preserve">несоответствие Заявителя требованиям, установленным </w:t>
      </w:r>
      <w:hyperlink w:history="0" w:anchor="P3768" w:tooltip="2.2. Заявители на 1-е число месяца, предшествующего месяцу, в котором проводится отбор, должны соответствовать следующим требованиям:">
        <w:r>
          <w:rPr>
            <w:sz w:val="20"/>
            <w:color w:val="0000ff"/>
          </w:rPr>
          <w:t xml:space="preserve">пунктом 2.2</w:t>
        </w:r>
      </w:hyperlink>
      <w:r>
        <w:rPr>
          <w:sz w:val="20"/>
        </w:rPr>
        <w:t xml:space="preserve"> Порядка;</w:t>
      </w:r>
    </w:p>
    <w:p>
      <w:pPr>
        <w:pStyle w:val="0"/>
        <w:spacing w:before="200" w:line-rule="auto"/>
        <w:ind w:firstLine="540"/>
        <w:jc w:val="both"/>
      </w:pPr>
      <w:r>
        <w:rPr>
          <w:sz w:val="20"/>
        </w:rPr>
        <w:t xml:space="preserve">представление Заявки не в полном объеме, предусмотренном </w:t>
      </w:r>
      <w:hyperlink w:history="0" w:anchor="P3776" w:tooltip="2.3. Для участия в отборе Заявитель либо уполномоченное им лицо представляет в Департамент Заявку, в которую входят:">
        <w:r>
          <w:rPr>
            <w:sz w:val="20"/>
            <w:color w:val="0000ff"/>
          </w:rPr>
          <w:t xml:space="preserve">пунктом 2.3</w:t>
        </w:r>
      </w:hyperlink>
      <w:r>
        <w:rPr>
          <w:sz w:val="20"/>
        </w:rPr>
        <w:t xml:space="preserve"> Порядка;</w:t>
      </w:r>
    </w:p>
    <w:p>
      <w:pPr>
        <w:pStyle w:val="0"/>
        <w:spacing w:before="200" w:line-rule="auto"/>
        <w:ind w:firstLine="540"/>
        <w:jc w:val="both"/>
      </w:pPr>
      <w:r>
        <w:rPr>
          <w:sz w:val="20"/>
        </w:rPr>
        <w:t xml:space="preserve">подача Заявки после даты и (или) времени, определенных для ее подачи.</w:t>
      </w:r>
    </w:p>
    <w:p>
      <w:pPr>
        <w:pStyle w:val="0"/>
        <w:spacing w:before="200" w:line-rule="auto"/>
        <w:ind w:firstLine="540"/>
        <w:jc w:val="both"/>
      </w:pPr>
      <w:r>
        <w:rPr>
          <w:sz w:val="20"/>
        </w:rPr>
        <w:t xml:space="preserve">2.13 Департамент организует заседание Комиссии не позднее 2 рабочих дней со дня принятия решений, предусмотренных </w:t>
      </w:r>
      <w:hyperlink w:history="0" w:anchor="P3805" w:tooltip="2.12.1. В течение 2 рабочих дней после окончания проверки Заявителя и рассмотрения Заявки, указанных в абзаце первом настоящего пункта, Департамент принимает решение об отклонении Заявки по основаниям, предусмотренным подпунктом 2.12.2 настоящего пункта, оформленное распоряжением Департамента, либо передает программу, входящую в состав Заявки, в Комиссию для ее рассмотрения и оценки на соответствие критериям, установленным пунктом 1.5 Порядка.">
        <w:r>
          <w:rPr>
            <w:sz w:val="20"/>
            <w:color w:val="0000ff"/>
          </w:rPr>
          <w:t xml:space="preserve">подпунктом 2.12.1</w:t>
        </w:r>
      </w:hyperlink>
      <w:r>
        <w:rPr>
          <w:sz w:val="20"/>
        </w:rPr>
        <w:t xml:space="preserve"> Порядка.</w:t>
      </w:r>
    </w:p>
    <w:p>
      <w:pPr>
        <w:pStyle w:val="0"/>
        <w:spacing w:before="200" w:line-rule="auto"/>
        <w:ind w:firstLine="540"/>
        <w:jc w:val="both"/>
      </w:pPr>
      <w:r>
        <w:rPr>
          <w:sz w:val="20"/>
        </w:rPr>
        <w:t xml:space="preserve">2.14. Рассмотрение и оценку программы осуществляют члены Комиссии по балльной системе путем заполнения оценочных листов по форме, утвержденной распоряжением Департамента, в соответствии с критериями оценки, указанными в </w:t>
      </w:r>
      <w:hyperlink w:history="0" w:anchor="P3754" w:tooltip="1.5. Критерием отбора является соответствие программ, представленных Заявителями, следующим критериям оценки:">
        <w:r>
          <w:rPr>
            <w:sz w:val="20"/>
            <w:color w:val="0000ff"/>
          </w:rPr>
          <w:t xml:space="preserve">пункте 1.5</w:t>
        </w:r>
      </w:hyperlink>
      <w:r>
        <w:rPr>
          <w:sz w:val="20"/>
        </w:rPr>
        <w:t xml:space="preserve"> Порядка (от 0 до 3 баллов):</w:t>
      </w:r>
    </w:p>
    <w:p>
      <w:pPr>
        <w:pStyle w:val="0"/>
        <w:spacing w:before="200" w:line-rule="auto"/>
        <w:ind w:firstLine="540"/>
        <w:jc w:val="both"/>
      </w:pPr>
      <w:r>
        <w:rPr>
          <w:sz w:val="20"/>
        </w:rPr>
        <w:t xml:space="preserve">актуальность и социальная значимость программы (3 балла - высокая степень актуальности и значимости решения проблемы для инвалидов в автономном округе, программа содержит новые механизмы и меры по развитию собственных производственных площадей для трудоустройства инвалидов; 2 балла - проблема и цели раскрыты не в полной мере, средний уровень актуальности и значимости решения описываемой проблемы, описан существующий механизм решения проблемы, но отсутствует новизна; 1 балл - низкая степень актуальности и значимости проблемы, проблема и цели не раскрыты, 0 баллов - отсутствует определение проблемы и целей);</w:t>
      </w:r>
    </w:p>
    <w:p>
      <w:pPr>
        <w:pStyle w:val="0"/>
        <w:spacing w:before="200" w:line-rule="auto"/>
        <w:ind w:firstLine="540"/>
        <w:jc w:val="both"/>
      </w:pPr>
      <w:r>
        <w:rPr>
          <w:sz w:val="20"/>
        </w:rPr>
        <w:t xml:space="preserve">масштаб реализации программы (3 балла - срок реализации программы более 1 года, широкий спектр охвата категорий инвалидов, реализация программы осуществляется на территории более 3 муниципальных образований автономного округа; 2 балла - срок реализации программы более 1 года, определена узкая категория и небольшой охват инвалидов, реализация программы осуществляется на территории 2 - 3 муниципальных образований автономного округа; 1 балл - срок реализации программы 1 год, определена узкая категория и небольшой охват инвалидов, реализация программы осуществляется на территории 1 муниципального образования автономного округа, 0 баллов - сроки реализации, категории участников программы и территории реализации программы не определены);</w:t>
      </w:r>
    </w:p>
    <w:p>
      <w:pPr>
        <w:pStyle w:val="0"/>
        <w:spacing w:before="200" w:line-rule="auto"/>
        <w:ind w:firstLine="540"/>
        <w:jc w:val="both"/>
      </w:pPr>
      <w:r>
        <w:rPr>
          <w:sz w:val="20"/>
        </w:rPr>
        <w:t xml:space="preserve">обоснованность планируемых расходов реализации программы (3 балла - в смете детализированы расходы и их расчет с учетом достижения результатов реализации программы, привлекаются как бюджетные средства, так и внебюджетные средства, 2 балла - в смете детализированы расходы и их расчет с учетом достижения результатов реализации программы, привлекаются только бюджетные средства, 1 балл - в смете детализированы расходы и их расчет без учета результатов реализации программы, привлечение только бюджетных средств, 0 баллов - в смете не детализированы расходы, отсутствует расчет и взаимосвязь с результатами реализации программы);</w:t>
      </w:r>
    </w:p>
    <w:p>
      <w:pPr>
        <w:pStyle w:val="0"/>
        <w:spacing w:before="200" w:line-rule="auto"/>
        <w:ind w:firstLine="540"/>
        <w:jc w:val="both"/>
      </w:pPr>
      <w:r>
        <w:rPr>
          <w:sz w:val="20"/>
        </w:rPr>
        <w:t xml:space="preserve">результаты реализации программы (3 балла - определены основные результаты, которые являются конкретными и измеримыми, установлены дополнительные результаты; 2 балла - определены основные результаты, которые являются конкретными и измеримыми, 1 балл - определены основные результаты, но не определены конкретные их значения; 0 баллов - не установлены показатели реализации программы);</w:t>
      </w:r>
    </w:p>
    <w:p>
      <w:pPr>
        <w:pStyle w:val="0"/>
        <w:spacing w:before="200" w:line-rule="auto"/>
        <w:ind w:firstLine="540"/>
        <w:jc w:val="both"/>
      </w:pPr>
      <w:r>
        <w:rPr>
          <w:sz w:val="20"/>
        </w:rPr>
        <w:t xml:space="preserve">наличие опыта реализации и перспектив развития программы (3 балла - имеется опыт реализации мероприятий, предусмотренных программой, указана результативность их реализации, определен план развития направлений деятельности программы, 2 балла - имеется опыт реализации мероприятий, предусмотренных программой, отсутствует план развития направлений деятельности программы, 1 балл - отсутствует опыт реализации мероприятий, предусмотренных программой, определен план развития направлений деятельности, 0 баллов - отсутствуют опыт реализации мероприятий, предусмотренных программой, и план развития направлений деятельности).</w:t>
      </w:r>
    </w:p>
    <w:p>
      <w:pPr>
        <w:pStyle w:val="0"/>
        <w:spacing w:before="200" w:line-rule="auto"/>
        <w:ind w:firstLine="540"/>
        <w:jc w:val="both"/>
      </w:pPr>
      <w:r>
        <w:rPr>
          <w:sz w:val="20"/>
        </w:rPr>
        <w:t xml:space="preserve">2.15. В результате оценки по каждой программе выводится итоговый балл, который рассчитывается как сумма баллов, присвоенных программе всеми членами Комиссии. Исходя из значений итоговых баллов составляется рейтинг программ (по принципу убывания).</w:t>
      </w:r>
    </w:p>
    <w:bookmarkStart w:id="3822" w:name="P3822"/>
    <w:bookmarkEnd w:id="3822"/>
    <w:p>
      <w:pPr>
        <w:pStyle w:val="0"/>
        <w:spacing w:before="200" w:line-rule="auto"/>
        <w:ind w:firstLine="540"/>
        <w:jc w:val="both"/>
      </w:pPr>
      <w:r>
        <w:rPr>
          <w:sz w:val="20"/>
        </w:rPr>
        <w:t xml:space="preserve">2.16. В соответствии с рейтингом программ Комиссия рекомендует Департаменту предоставить субсидию Заявителям, программы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w:t>
      </w:r>
    </w:p>
    <w:p>
      <w:pPr>
        <w:pStyle w:val="0"/>
        <w:spacing w:before="200" w:line-rule="auto"/>
        <w:ind w:firstLine="540"/>
        <w:jc w:val="both"/>
      </w:pPr>
      <w:r>
        <w:rPr>
          <w:sz w:val="20"/>
        </w:rPr>
        <w:t xml:space="preserve">При равном количестве итоговых баллов, набранных программами при оценке, приоритет имеет программа, зарегистрированная в составе Заявок ранее других.</w:t>
      </w:r>
    </w:p>
    <w:p>
      <w:pPr>
        <w:pStyle w:val="0"/>
        <w:spacing w:before="200" w:line-rule="auto"/>
        <w:ind w:firstLine="540"/>
        <w:jc w:val="both"/>
      </w:pPr>
      <w:r>
        <w:rPr>
          <w:sz w:val="20"/>
        </w:rPr>
        <w:t xml:space="preserve">2.17. Решение Комиссии оформляется протоколом, который подписывают все члены Комиссии.</w:t>
      </w:r>
    </w:p>
    <w:p>
      <w:pPr>
        <w:pStyle w:val="0"/>
        <w:spacing w:before="200" w:line-rule="auto"/>
        <w:ind w:firstLine="540"/>
        <w:jc w:val="both"/>
      </w:pPr>
      <w:r>
        <w:rPr>
          <w:sz w:val="20"/>
        </w:rPr>
        <w:t xml:space="preserve">2.18. В течение 2 рабочих дней секретарь Комиссии передает протокол заседания Комиссии в Департамент.</w:t>
      </w:r>
    </w:p>
    <w:bookmarkStart w:id="3826" w:name="P3826"/>
    <w:bookmarkEnd w:id="3826"/>
    <w:p>
      <w:pPr>
        <w:pStyle w:val="0"/>
        <w:spacing w:before="200" w:line-rule="auto"/>
        <w:ind w:firstLine="540"/>
        <w:jc w:val="both"/>
      </w:pPr>
      <w:r>
        <w:rPr>
          <w:sz w:val="20"/>
        </w:rPr>
        <w:t xml:space="preserve">2.19. Департамент в срок не позднее 2 рабочих дней со дня получения протокола заседания Комиссии оформляет своим распоряжением решения о предоставлении субсидии и (или) об отказе в предоставлении субсидии.</w:t>
      </w:r>
    </w:p>
    <w:p>
      <w:pPr>
        <w:pStyle w:val="0"/>
        <w:spacing w:before="200" w:line-rule="auto"/>
        <w:ind w:firstLine="540"/>
        <w:jc w:val="both"/>
      </w:pPr>
      <w:r>
        <w:rPr>
          <w:sz w:val="20"/>
        </w:rPr>
        <w:t xml:space="preserve">2.19.1. В случае принятия решения об отказе в предоставлении субсидии Департамент уведомляет об этом Заявителя в течение 2 рабочих дней со дня его принятия путем направления почтовым отправлением с уведомлением о вручении извещения о принятом решении с приложением копии распоряжения Департамента.</w:t>
      </w:r>
    </w:p>
    <w:p>
      <w:pPr>
        <w:pStyle w:val="0"/>
        <w:spacing w:before="200" w:line-rule="auto"/>
        <w:ind w:firstLine="540"/>
        <w:jc w:val="both"/>
      </w:pPr>
      <w:r>
        <w:rPr>
          <w:sz w:val="20"/>
        </w:rPr>
        <w:t xml:space="preserve">2.19.2. В случае принятия решения о предоставлении субсидии Департамент направляет Заявителю в течение 2 рабочих дней со дня его принятия почтовым отправлением с уведомлением о вручении извещение о принятом решении с приложением копии распоряжения Департамента.</w:t>
      </w:r>
    </w:p>
    <w:p>
      <w:pPr>
        <w:pStyle w:val="0"/>
        <w:spacing w:before="200" w:line-rule="auto"/>
        <w:ind w:firstLine="540"/>
        <w:jc w:val="both"/>
      </w:pPr>
      <w:r>
        <w:rPr>
          <w:sz w:val="20"/>
        </w:rPr>
        <w:t xml:space="preserve">2.20. В случае если для участия в отборе представлена только 1 Заявка, Департамент признает отбор состоявшимся. Рассмотрение Заявки, рассмотрение и оценка программы осуществляется в соответствии с </w:t>
      </w:r>
      <w:hyperlink w:history="0" w:anchor="P3795" w:tooltip="2.10. Департамент в течение 7 рабочих дней со дня окончания приема Заявок осуществляет проверку Заявителя на соответствие установленным пунктом 2.2 Порядка требованиям путем запроса в порядке межведомственного взаимодействия в соответствии с законодательством Российской Федерации:">
        <w:r>
          <w:rPr>
            <w:sz w:val="20"/>
            <w:color w:val="0000ff"/>
          </w:rPr>
          <w:t xml:space="preserve">пунктами 2.10</w:t>
        </w:r>
      </w:hyperlink>
      <w:r>
        <w:rPr>
          <w:sz w:val="20"/>
        </w:rPr>
        <w:t xml:space="preserve"> - </w:t>
      </w:r>
      <w:hyperlink w:history="0" w:anchor="P3822" w:tooltip="2.16. В соответствии с рейтингом программ Комиссия рекомендует Департаменту предоставить субсидию Заявителям, программы которых набрали наибольший итоговый балл, в пределах объемов бюджетных ассигнований, предусмотренных на реализацию мероприятия на соответствующий финансовый год.">
        <w:r>
          <w:rPr>
            <w:sz w:val="20"/>
            <w:color w:val="0000ff"/>
          </w:rPr>
          <w:t xml:space="preserve">2.16</w:t>
        </w:r>
      </w:hyperlink>
      <w:r>
        <w:rPr>
          <w:sz w:val="20"/>
        </w:rPr>
        <w:t xml:space="preserve"> Порядка.</w:t>
      </w:r>
    </w:p>
    <w:p>
      <w:pPr>
        <w:pStyle w:val="0"/>
        <w:spacing w:before="200" w:line-rule="auto"/>
        <w:ind w:firstLine="540"/>
        <w:jc w:val="both"/>
      </w:pPr>
      <w:r>
        <w:rPr>
          <w:sz w:val="20"/>
        </w:rPr>
        <w:t xml:space="preserve">2.21. Основания для отказа в предоставлении субсидии:</w:t>
      </w:r>
    </w:p>
    <w:p>
      <w:pPr>
        <w:pStyle w:val="0"/>
        <w:spacing w:before="200" w:line-rule="auto"/>
        <w:ind w:firstLine="540"/>
        <w:jc w:val="both"/>
      </w:pPr>
      <w:r>
        <w:rPr>
          <w:sz w:val="20"/>
        </w:rPr>
        <w:t xml:space="preserve">установление факта недостоверности представленной Заявителем информации;</w:t>
      </w:r>
    </w:p>
    <w:p>
      <w:pPr>
        <w:pStyle w:val="0"/>
        <w:spacing w:before="200" w:line-rule="auto"/>
        <w:ind w:firstLine="540"/>
        <w:jc w:val="both"/>
      </w:pPr>
      <w:r>
        <w:rPr>
          <w:sz w:val="20"/>
        </w:rPr>
        <w:t xml:space="preserve">несоответствие представленных Заявок требованиям, установленным в объявлении о проведении отбора, в том числе к форме заявления, программы, или непредставление (представление не в полном объеме) документов, включенных в Заявку;</w:t>
      </w:r>
    </w:p>
    <w:p>
      <w:pPr>
        <w:pStyle w:val="0"/>
        <w:spacing w:before="200" w:line-rule="auto"/>
        <w:ind w:firstLine="540"/>
        <w:jc w:val="both"/>
      </w:pPr>
      <w:r>
        <w:rPr>
          <w:sz w:val="20"/>
        </w:rPr>
        <w:t xml:space="preserve">недостаточность лимитов бюджетных ассигнований, предусмотренных на реализацию мероприятия, для обеспечения в полном объеме реализации программы.</w:t>
      </w:r>
    </w:p>
    <w:p>
      <w:pPr>
        <w:pStyle w:val="0"/>
        <w:spacing w:before="200" w:line-rule="auto"/>
        <w:ind w:firstLine="540"/>
        <w:jc w:val="both"/>
      </w:pPr>
      <w:r>
        <w:rPr>
          <w:sz w:val="20"/>
        </w:rPr>
        <w:t xml:space="preserve">2.22. Департамент в течение 3 рабочих дней после принятия решений, указанных в </w:t>
      </w:r>
      <w:hyperlink w:history="0" w:anchor="P3826" w:tooltip="2.19. Департамент в срок не позднее 2 рабочих дней со дня получения протокола заседания Комиссии оформляет своим распоряжением решения о предоставлении субсидии и (или) об отказе в предоставлении субсидии.">
        <w:r>
          <w:rPr>
            <w:sz w:val="20"/>
            <w:color w:val="0000ff"/>
          </w:rPr>
          <w:t xml:space="preserve">пункте 2.19</w:t>
        </w:r>
      </w:hyperlink>
      <w:r>
        <w:rPr>
          <w:sz w:val="20"/>
        </w:rPr>
        <w:t xml:space="preserve"> Порядка, размещает на едином портале (при наличии технической возможности), информационной платформе Грантгубернатора.рф, официальном сайте в разделе "Конкурсы" информацию о результатах отбора с указанием следующих сведений:</w:t>
      </w:r>
    </w:p>
    <w:p>
      <w:pPr>
        <w:pStyle w:val="0"/>
        <w:jc w:val="both"/>
      </w:pPr>
      <w:r>
        <w:rPr>
          <w:sz w:val="20"/>
        </w:rPr>
        <w:t xml:space="preserve">(в ред. </w:t>
      </w:r>
      <w:hyperlink w:history="0" r:id="rId580"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p>
      <w:pPr>
        <w:pStyle w:val="0"/>
        <w:spacing w:before="200" w:line-rule="auto"/>
        <w:ind w:firstLine="540"/>
        <w:jc w:val="both"/>
      </w:pPr>
      <w:r>
        <w:rPr>
          <w:sz w:val="20"/>
        </w:rPr>
        <w:t xml:space="preserve">дата, время и место рассмотрения Заявок, рассмотрения и оценки программ;</w:t>
      </w:r>
    </w:p>
    <w:p>
      <w:pPr>
        <w:pStyle w:val="0"/>
        <w:spacing w:before="200" w:line-rule="auto"/>
        <w:ind w:firstLine="540"/>
        <w:jc w:val="both"/>
      </w:pPr>
      <w:r>
        <w:rPr>
          <w:sz w:val="20"/>
        </w:rPr>
        <w:t xml:space="preserve">информация о Заявителях, Заявки которых были рассмотрены;</w:t>
      </w:r>
    </w:p>
    <w:p>
      <w:pPr>
        <w:pStyle w:val="0"/>
        <w:spacing w:before="200" w:line-rule="auto"/>
        <w:ind w:firstLine="540"/>
        <w:jc w:val="both"/>
      </w:pPr>
      <w:r>
        <w:rPr>
          <w:sz w:val="20"/>
        </w:rPr>
        <w:t xml:space="preserve">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Получателя (Получателей) субсидии, с которым заключается Соглашение, и размер предоставляемой ему (им) субсидии;</w:t>
      </w:r>
    </w:p>
    <w:p>
      <w:pPr>
        <w:pStyle w:val="0"/>
        <w:spacing w:before="200" w:line-rule="auto"/>
        <w:ind w:firstLine="540"/>
        <w:jc w:val="both"/>
      </w:pPr>
      <w:r>
        <w:rPr>
          <w:sz w:val="20"/>
        </w:rPr>
        <w:t xml:space="preserve">последовательность рассмотрения Заявок, рассмотрения и оценки программ, присвоенные программам значения баллов по каждому из предусмотренных критериев оценки, принятое на основании результатов оценки решение о присвоении им порядковых номеров (рейтинг программ).</w:t>
      </w:r>
    </w:p>
    <w:p>
      <w:pPr>
        <w:pStyle w:val="0"/>
        <w:spacing w:before="200" w:line-rule="auto"/>
        <w:ind w:firstLine="540"/>
        <w:jc w:val="both"/>
      </w:pPr>
      <w:r>
        <w:rPr>
          <w:sz w:val="20"/>
        </w:rPr>
        <w:t xml:space="preserve">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Департамента в информационно-телекоммуникационной сети Интернет.</w:t>
      </w:r>
    </w:p>
    <w:p>
      <w:pPr>
        <w:pStyle w:val="0"/>
        <w:jc w:val="both"/>
      </w:pPr>
      <w:r>
        <w:rPr>
          <w:sz w:val="20"/>
        </w:rPr>
      </w:r>
    </w:p>
    <w:p>
      <w:pPr>
        <w:pStyle w:val="2"/>
        <w:outlineLvl w:val="1"/>
        <w:jc w:val="center"/>
      </w:pPr>
      <w:r>
        <w:rPr>
          <w:sz w:val="20"/>
        </w:rPr>
        <w:t xml:space="preserve">3. Условия и порядок предоставления субсидии</w:t>
      </w:r>
    </w:p>
    <w:p>
      <w:pPr>
        <w:pStyle w:val="0"/>
        <w:jc w:val="both"/>
      </w:pPr>
      <w:r>
        <w:rPr>
          <w:sz w:val="20"/>
        </w:rPr>
      </w:r>
    </w:p>
    <w:p>
      <w:pPr>
        <w:pStyle w:val="0"/>
        <w:ind w:firstLine="540"/>
        <w:jc w:val="both"/>
      </w:pPr>
      <w:r>
        <w:rPr>
          <w:sz w:val="20"/>
        </w:rPr>
        <w:t xml:space="preserve">3.1. Субсидия предоставляется на основании соглашения о предоставлении субсидии (далее - Соглашение).</w:t>
      </w:r>
    </w:p>
    <w:p>
      <w:pPr>
        <w:pStyle w:val="0"/>
        <w:spacing w:before="200" w:line-rule="auto"/>
        <w:ind w:firstLine="540"/>
        <w:jc w:val="both"/>
      </w:pPr>
      <w:r>
        <w:rPr>
          <w:sz w:val="20"/>
        </w:rPr>
        <w:t xml:space="preserve">3.2. Соглашение, в том числе дополнительное соглашение к нему, предусматривающее внесение изменений, или дополнительное соглашение о расторжении Соглашения заключается в соответствии с типовой формой, утвержденной Департаментом финансов автономного округа, между Департаментом и получателем субсидии.</w:t>
      </w:r>
    </w:p>
    <w:p>
      <w:pPr>
        <w:pStyle w:val="0"/>
        <w:spacing w:before="200" w:line-rule="auto"/>
        <w:ind w:firstLine="540"/>
        <w:jc w:val="both"/>
      </w:pPr>
      <w:r>
        <w:rPr>
          <w:sz w:val="20"/>
        </w:rPr>
        <w:t xml:space="preserve">3.3. Соглашение предусматривает:</w:t>
      </w:r>
    </w:p>
    <w:p>
      <w:pPr>
        <w:pStyle w:val="0"/>
        <w:spacing w:before="200" w:line-rule="auto"/>
        <w:ind w:firstLine="540"/>
        <w:jc w:val="both"/>
      </w:pPr>
      <w:r>
        <w:rPr>
          <w:sz w:val="20"/>
        </w:rPr>
        <w:t xml:space="preserve">конкретные значения показателей для достижения результата предоставления субсидии;</w:t>
      </w:r>
    </w:p>
    <w:p>
      <w:pPr>
        <w:pStyle w:val="0"/>
        <w:spacing w:before="200" w:line-rule="auto"/>
        <w:ind w:firstLine="540"/>
        <w:jc w:val="both"/>
      </w:pPr>
      <w:r>
        <w:rPr>
          <w:sz w:val="20"/>
        </w:rPr>
        <w:t xml:space="preserve">меры ответственности за недостижение значений результата и показателей для достижения результата предоставления субсидии;</w:t>
      </w:r>
    </w:p>
    <w:p>
      <w:pPr>
        <w:pStyle w:val="0"/>
        <w:spacing w:before="200" w:line-rule="auto"/>
        <w:ind w:firstLine="540"/>
        <w:jc w:val="both"/>
      </w:pPr>
      <w:r>
        <w:rPr>
          <w:sz w:val="20"/>
        </w:rPr>
        <w:t xml:space="preserve">сроки (периодичность) перечисления субсидии;</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Департаментом соблюдения порядка и условий предоставления субсидии, в том числе в части достижения результатов предоставления субсидии и органом государственного финансового контроля автономного округа проверки соблюдения получателем субсидии порядка и условий предоставления субсидии в соответствии со </w:t>
      </w:r>
      <w:hyperlink w:history="0" r:id="rId581"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82"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583"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запрет приобретения Получателем субсидии за счет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w:t>
      </w:r>
    </w:p>
    <w:p>
      <w:pPr>
        <w:pStyle w:val="0"/>
        <w:spacing w:before="200" w:line-rule="auto"/>
        <w:ind w:firstLine="540"/>
        <w:jc w:val="both"/>
      </w:pPr>
      <w:r>
        <w:rPr>
          <w:sz w:val="20"/>
        </w:rPr>
        <w:t xml:space="preserve">порядок, сроки и формы представления Получателем субсидии отчетности о достижении значений результатов и показателей предоставления субсидии;</w:t>
      </w:r>
    </w:p>
    <w:p>
      <w:pPr>
        <w:pStyle w:val="0"/>
        <w:spacing w:before="200" w:line-rule="auto"/>
        <w:ind w:firstLine="540"/>
        <w:jc w:val="both"/>
      </w:pPr>
      <w:r>
        <w:rPr>
          <w:sz w:val="20"/>
        </w:rPr>
        <w:t xml:space="preserve">право Департамента как 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pPr>
        <w:pStyle w:val="0"/>
        <w:spacing w:before="200" w:line-rule="auto"/>
        <w:ind w:firstLine="540"/>
        <w:jc w:val="both"/>
      </w:pPr>
      <w:r>
        <w:rPr>
          <w:sz w:val="20"/>
        </w:rPr>
        <w:t xml:space="preserve">иные положения, необходимые для реализации целей и условий Порядка.</w:t>
      </w:r>
    </w:p>
    <w:bookmarkStart w:id="3858" w:name="P3858"/>
    <w:bookmarkEnd w:id="3858"/>
    <w:p>
      <w:pPr>
        <w:pStyle w:val="0"/>
        <w:spacing w:before="200" w:line-rule="auto"/>
        <w:ind w:firstLine="540"/>
        <w:jc w:val="both"/>
      </w:pPr>
      <w:r>
        <w:rPr>
          <w:sz w:val="20"/>
        </w:rPr>
        <w:t xml:space="preserve">3.4. В течение 2 рабочих дней с даты принятия решения о предоставлении субсидии Департамент направляет Получателю субсидии сопроводительным письмом решение о предоставлении субсидии, а также формирует и направляет посредством государственной информационной системы "Региональный электронный бюджет Югры" (далее - информационная система) проект Соглашения.</w:t>
      </w:r>
    </w:p>
    <w:bookmarkStart w:id="3859" w:name="P3859"/>
    <w:bookmarkEnd w:id="3859"/>
    <w:p>
      <w:pPr>
        <w:pStyle w:val="0"/>
        <w:spacing w:before="200" w:line-rule="auto"/>
        <w:ind w:firstLine="540"/>
        <w:jc w:val="both"/>
      </w:pPr>
      <w:r>
        <w:rPr>
          <w:sz w:val="20"/>
        </w:rPr>
        <w:t xml:space="preserve">3.4.1.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w:t>
      </w:r>
    </w:p>
    <w:p>
      <w:pPr>
        <w:pStyle w:val="0"/>
        <w:spacing w:before="200" w:line-rule="auto"/>
        <w:ind w:firstLine="540"/>
        <w:jc w:val="both"/>
      </w:pPr>
      <w:r>
        <w:rPr>
          <w:sz w:val="20"/>
        </w:rPr>
        <w:t xml:space="preserve">3.4.2. При отсутствии технической возможности составления соглашения в форме электронного документа и подписания усиленными квалифицированными электронными подписями лиц, имеющих право действовать от имени каждой из сторон соглашения, в информационной системе данное взаимодействие осуществляется с применением документооборота на бумажном носителе в сроки, обозначенные </w:t>
      </w:r>
      <w:hyperlink w:history="0" w:anchor="P3858" w:tooltip="3.4. В течение 2 рабочих дней с даты принятия решения о предоставлении субсидии Департамент направляет Получателю субсидии сопроводительным письмом решение о предоставлении субсидии, а также формирует и направляет посредством государственной информационной системы &quot;Региональный электронный бюджет Югры&quot; (далее - информационная система) проект Соглашения.">
        <w:r>
          <w:rPr>
            <w:sz w:val="20"/>
            <w:color w:val="0000ff"/>
          </w:rPr>
          <w:t xml:space="preserve">пунктами 3.4</w:t>
        </w:r>
      </w:hyperlink>
      <w:r>
        <w:rPr>
          <w:sz w:val="20"/>
        </w:rPr>
        <w:t xml:space="preserve">, </w:t>
      </w:r>
      <w:hyperlink w:history="0" w:anchor="P3859" w:tooltip="3.4.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
        <w:r>
          <w:rPr>
            <w:sz w:val="20"/>
            <w:color w:val="0000ff"/>
          </w:rPr>
          <w:t xml:space="preserve">3.4.1</w:t>
        </w:r>
      </w:hyperlink>
      <w:r>
        <w:rPr>
          <w:sz w:val="20"/>
        </w:rPr>
        <w:t xml:space="preserve"> Порядка.</w:t>
      </w:r>
    </w:p>
    <w:p>
      <w:pPr>
        <w:pStyle w:val="0"/>
        <w:spacing w:before="200" w:line-rule="auto"/>
        <w:ind w:firstLine="540"/>
        <w:jc w:val="both"/>
      </w:pPr>
      <w:r>
        <w:rPr>
          <w:sz w:val="20"/>
        </w:rPr>
        <w:t xml:space="preserve">3.4.3. В случае непредставления в установленные </w:t>
      </w:r>
      <w:hyperlink w:history="0" w:anchor="P3858" w:tooltip="3.4. В течение 2 рабочих дней с даты принятия решения о предоставлении субсидии Департамент направляет Получателю субсидии сопроводительным письмом решение о предоставлении субсидии, а также формирует и направляет посредством государственной информационной системы &quot;Региональный электронный бюджет Югры&quot; (далее - информационная система) проект Соглашения.">
        <w:r>
          <w:rPr>
            <w:sz w:val="20"/>
            <w:color w:val="0000ff"/>
          </w:rPr>
          <w:t xml:space="preserve">пунктами 3.4</w:t>
        </w:r>
      </w:hyperlink>
      <w:r>
        <w:rPr>
          <w:sz w:val="20"/>
        </w:rPr>
        <w:t xml:space="preserve">, </w:t>
      </w:r>
      <w:hyperlink w:history="0" w:anchor="P3859" w:tooltip="3.4.1. Получатель субсидии обеспечивает подписание соглашения, дополнительного соглашения к соглашению, в том числе дополнительного соглашения о расторжении соглашения, в интегрированной информационной системе усиленной квалифицированной электронной подписью лица, имеющего право действовать от его имени, в срок не позднее 5 рабочих дней со дня его получения.">
        <w:r>
          <w:rPr>
            <w:sz w:val="20"/>
            <w:color w:val="0000ff"/>
          </w:rPr>
          <w:t xml:space="preserve">3.4.1</w:t>
        </w:r>
      </w:hyperlink>
      <w:r>
        <w:rPr>
          <w:sz w:val="20"/>
        </w:rPr>
        <w:t xml:space="preserve"> Порядка сроки подписанного Соглашения Получатель субсидии считается уклонившимся от его заключения.</w:t>
      </w:r>
    </w:p>
    <w:p>
      <w:pPr>
        <w:pStyle w:val="0"/>
        <w:spacing w:before="200" w:line-rule="auto"/>
        <w:ind w:firstLine="540"/>
        <w:jc w:val="both"/>
      </w:pPr>
      <w:r>
        <w:rPr>
          <w:sz w:val="20"/>
        </w:rPr>
        <w:t xml:space="preserve">3.5. Датой фактического подписания Соглашения считается дата его подписания всеми сторонами.</w:t>
      </w:r>
    </w:p>
    <w:p>
      <w:pPr>
        <w:pStyle w:val="0"/>
        <w:spacing w:before="200" w:line-rule="auto"/>
        <w:ind w:firstLine="540"/>
        <w:jc w:val="both"/>
      </w:pPr>
      <w:r>
        <w:rPr>
          <w:sz w:val="20"/>
        </w:rPr>
        <w:t xml:space="preserve">3.6. Размер субсидии не может превышать 500,0 тыс. рублей и определяется по формуле:</w:t>
      </w:r>
    </w:p>
    <w:p>
      <w:pPr>
        <w:pStyle w:val="0"/>
        <w:jc w:val="both"/>
      </w:pPr>
      <w:r>
        <w:rPr>
          <w:sz w:val="20"/>
        </w:rPr>
      </w:r>
    </w:p>
    <w:p>
      <w:pPr>
        <w:pStyle w:val="0"/>
        <w:jc w:val="center"/>
      </w:pPr>
      <w:r>
        <w:rPr>
          <w:sz w:val="20"/>
        </w:rPr>
        <w:t xml:space="preserve">С = З</w:t>
      </w:r>
      <w:r>
        <w:rPr>
          <w:sz w:val="20"/>
          <w:vertAlign w:val="subscript"/>
        </w:rPr>
        <w:t xml:space="preserve">д</w:t>
      </w:r>
      <w:r>
        <w:rPr>
          <w:sz w:val="20"/>
        </w:rPr>
        <w:t xml:space="preserve"> + З</w:t>
      </w:r>
      <w:r>
        <w:rPr>
          <w:sz w:val="20"/>
          <w:vertAlign w:val="subscript"/>
        </w:rPr>
        <w:t xml:space="preserve">срм</w:t>
      </w:r>
      <w:r>
        <w:rPr>
          <w:sz w:val="20"/>
        </w:rPr>
        <w:t xml:space="preserve"> + З</w:t>
      </w:r>
      <w:r>
        <w:rPr>
          <w:sz w:val="20"/>
          <w:vertAlign w:val="subscript"/>
        </w:rPr>
        <w:t xml:space="preserve">об</w:t>
      </w:r>
      <w:r>
        <w:rPr>
          <w:sz w:val="20"/>
        </w:rPr>
        <w:t xml:space="preserve">, где:</w:t>
      </w:r>
    </w:p>
    <w:p>
      <w:pPr>
        <w:pStyle w:val="0"/>
        <w:jc w:val="both"/>
      </w:pPr>
      <w:r>
        <w:rPr>
          <w:sz w:val="20"/>
        </w:rPr>
      </w:r>
    </w:p>
    <w:p>
      <w:pPr>
        <w:pStyle w:val="0"/>
        <w:ind w:firstLine="540"/>
        <w:jc w:val="both"/>
      </w:pPr>
      <w:r>
        <w:rPr>
          <w:sz w:val="20"/>
        </w:rPr>
        <w:t xml:space="preserve">С - общий размер субсидии;</w:t>
      </w:r>
    </w:p>
    <w:p>
      <w:pPr>
        <w:pStyle w:val="0"/>
        <w:spacing w:before="200" w:line-rule="auto"/>
        <w:ind w:firstLine="540"/>
        <w:jc w:val="both"/>
      </w:pPr>
      <w:r>
        <w:rPr>
          <w:sz w:val="20"/>
        </w:rPr>
        <w:t xml:space="preserve">З</w:t>
      </w:r>
      <w:r>
        <w:rPr>
          <w:sz w:val="20"/>
          <w:vertAlign w:val="subscript"/>
        </w:rPr>
        <w:t xml:space="preserve">д</w:t>
      </w:r>
      <w:r>
        <w:rPr>
          <w:sz w:val="20"/>
        </w:rPr>
        <w:t xml:space="preserve"> - затраты на обеспечение доступности к рабочему месту инвалида, указанные в смете расходов, предусмотренной программой;</w:t>
      </w:r>
    </w:p>
    <w:p>
      <w:pPr>
        <w:pStyle w:val="0"/>
        <w:spacing w:before="200" w:line-rule="auto"/>
        <w:ind w:firstLine="540"/>
        <w:jc w:val="both"/>
      </w:pPr>
      <w:r>
        <w:rPr>
          <w:sz w:val="20"/>
        </w:rPr>
        <w:t xml:space="preserve">З</w:t>
      </w:r>
      <w:r>
        <w:rPr>
          <w:sz w:val="20"/>
          <w:vertAlign w:val="subscript"/>
        </w:rPr>
        <w:t xml:space="preserve">срм</w:t>
      </w:r>
      <w:r>
        <w:rPr>
          <w:sz w:val="20"/>
        </w:rPr>
        <w:t xml:space="preserve"> - затраты на создание рабочего места для инвалида, рассчитанные с учетом численности трудоустраиваемых инвалидов, размера оплаты труда не менее минимального размера оплаты труда, приобретение оборудования (оснащения) для рабочего места, приобретение расходных материалов для выполнения работы (при необходимости) и другие затраты, указанные в смете расходов, предусмотренной программой;</w:t>
      </w:r>
    </w:p>
    <w:p>
      <w:pPr>
        <w:pStyle w:val="0"/>
        <w:spacing w:before="200" w:line-rule="auto"/>
        <w:ind w:firstLine="540"/>
        <w:jc w:val="both"/>
      </w:pPr>
      <w:r>
        <w:rPr>
          <w:sz w:val="20"/>
        </w:rPr>
        <w:t xml:space="preserve">З</w:t>
      </w:r>
      <w:r>
        <w:rPr>
          <w:sz w:val="20"/>
          <w:vertAlign w:val="subscript"/>
        </w:rPr>
        <w:t xml:space="preserve">об</w:t>
      </w:r>
      <w:r>
        <w:rPr>
          <w:sz w:val="20"/>
        </w:rPr>
        <w:t xml:space="preserve"> - затраты на обучение инвалидов с последующим трудоустройством, указанные в смете расходов, предусмотренной программой.</w:t>
      </w:r>
    </w:p>
    <w:p>
      <w:pPr>
        <w:pStyle w:val="0"/>
        <w:spacing w:before="200" w:line-rule="auto"/>
        <w:ind w:firstLine="540"/>
        <w:jc w:val="both"/>
      </w:pPr>
      <w:r>
        <w:rPr>
          <w:sz w:val="20"/>
        </w:rPr>
        <w:t xml:space="preserve">3.7. Департамент перечисляет субсидию получателю субсидии в пределах утвержденных бюджетных ассигнований на счет, открытый Получателем субсидии в российской кредитной организации и указанный в Соглашении, в следующем порядке:</w:t>
      </w:r>
    </w:p>
    <w:p>
      <w:pPr>
        <w:pStyle w:val="0"/>
        <w:spacing w:before="200" w:line-rule="auto"/>
        <w:ind w:firstLine="540"/>
        <w:jc w:val="both"/>
      </w:pPr>
      <w:r>
        <w:rPr>
          <w:sz w:val="20"/>
        </w:rPr>
        <w:t xml:space="preserve">3.7.1. Получателю субсидии, являющемуся социально ориентированной некоммерческой организацией, - не позднее 20-го рабочего дня со дня заключения Соглашения.</w:t>
      </w:r>
    </w:p>
    <w:p>
      <w:pPr>
        <w:pStyle w:val="0"/>
        <w:spacing w:before="200" w:line-rule="auto"/>
        <w:ind w:firstLine="540"/>
        <w:jc w:val="both"/>
      </w:pPr>
      <w:r>
        <w:rPr>
          <w:sz w:val="20"/>
        </w:rPr>
        <w:t xml:space="preserve">3.7.2. Получателю субсидии, являющемуся исполнителем общественно полезных услуг, - на реализацию мероприятий первого года действия Соглашения - не позднее 20-го рабочего дня со дня заключения Соглашения;</w:t>
      </w:r>
    </w:p>
    <w:p>
      <w:pPr>
        <w:pStyle w:val="0"/>
        <w:spacing w:before="200" w:line-rule="auto"/>
        <w:ind w:firstLine="540"/>
        <w:jc w:val="both"/>
      </w:pPr>
      <w:r>
        <w:rPr>
          <w:sz w:val="20"/>
        </w:rPr>
        <w:t xml:space="preserve">на реализацию мероприятий второго года действия Соглашения - не позднее 20-го рабочего дня со дня истечения первого года действия Соглашения.</w:t>
      </w:r>
    </w:p>
    <w:bookmarkStart w:id="3875" w:name="P3875"/>
    <w:bookmarkEnd w:id="3875"/>
    <w:p>
      <w:pPr>
        <w:pStyle w:val="0"/>
        <w:spacing w:before="200" w:line-rule="auto"/>
        <w:ind w:firstLine="540"/>
        <w:jc w:val="both"/>
      </w:pPr>
      <w:r>
        <w:rPr>
          <w:sz w:val="20"/>
        </w:rPr>
        <w:t xml:space="preserve">3.8. Направлениями деятельности программ являются:</w:t>
      </w:r>
    </w:p>
    <w:bookmarkStart w:id="3876" w:name="P3876"/>
    <w:bookmarkEnd w:id="3876"/>
    <w:p>
      <w:pPr>
        <w:pStyle w:val="0"/>
        <w:spacing w:before="200" w:line-rule="auto"/>
        <w:ind w:firstLine="540"/>
        <w:jc w:val="both"/>
      </w:pPr>
      <w:r>
        <w:rPr>
          <w:sz w:val="20"/>
        </w:rPr>
        <w:t xml:space="preserve">обеспечение инвалидам при трудоустройстве равных с другими гражданами возможностей;</w:t>
      </w:r>
    </w:p>
    <w:bookmarkStart w:id="3877" w:name="P3877"/>
    <w:bookmarkEnd w:id="3877"/>
    <w:p>
      <w:pPr>
        <w:pStyle w:val="0"/>
        <w:spacing w:before="200" w:line-rule="auto"/>
        <w:ind w:firstLine="540"/>
        <w:jc w:val="both"/>
      </w:pPr>
      <w:r>
        <w:rPr>
          <w:sz w:val="20"/>
        </w:rPr>
        <w:t xml:space="preserve">создание рабочих мест для инвалидов, в том числе в организациях, учредителями которых являются инвалиды;</w:t>
      </w:r>
    </w:p>
    <w:bookmarkStart w:id="3878" w:name="P3878"/>
    <w:bookmarkEnd w:id="3878"/>
    <w:p>
      <w:pPr>
        <w:pStyle w:val="0"/>
        <w:spacing w:before="200" w:line-rule="auto"/>
        <w:ind w:firstLine="540"/>
        <w:jc w:val="both"/>
      </w:pPr>
      <w:r>
        <w:rPr>
          <w:sz w:val="20"/>
        </w:rPr>
        <w:t xml:space="preserve">обучение инвалидов в том числе новым профессиям и их трудоустройство после обучения.</w:t>
      </w:r>
    </w:p>
    <w:p>
      <w:pPr>
        <w:pStyle w:val="0"/>
        <w:spacing w:before="200" w:line-rule="auto"/>
        <w:ind w:firstLine="540"/>
        <w:jc w:val="both"/>
      </w:pPr>
      <w:r>
        <w:rPr>
          <w:sz w:val="20"/>
        </w:rPr>
        <w:t xml:space="preserve">Программа должна соответствовать хотя бы одному из указанных в настоящем пункте направлений деятельности.</w:t>
      </w:r>
    </w:p>
    <w:p>
      <w:pPr>
        <w:pStyle w:val="0"/>
        <w:spacing w:before="200" w:line-rule="auto"/>
        <w:ind w:firstLine="540"/>
        <w:jc w:val="both"/>
      </w:pPr>
      <w:r>
        <w:rPr>
          <w:sz w:val="20"/>
        </w:rPr>
        <w:t xml:space="preserve">3.9. Субсидия предоставляется Получателю субсидии на финансовое обеспечение видов затрат, связанных с реализацией программы:</w:t>
      </w:r>
    </w:p>
    <w:p>
      <w:pPr>
        <w:pStyle w:val="0"/>
        <w:spacing w:before="200" w:line-rule="auto"/>
        <w:ind w:firstLine="540"/>
        <w:jc w:val="both"/>
      </w:pPr>
      <w:r>
        <w:rPr>
          <w:sz w:val="20"/>
        </w:rPr>
        <w:t xml:space="preserve">1) по направлению "обеспечение инвалидам при трудоустройстве равных с другими гражданами возможностей":</w:t>
      </w:r>
    </w:p>
    <w:p>
      <w:pPr>
        <w:pStyle w:val="0"/>
        <w:spacing w:before="200" w:line-rule="auto"/>
        <w:ind w:firstLine="540"/>
        <w:jc w:val="both"/>
      </w:pPr>
      <w:r>
        <w:rPr>
          <w:sz w:val="20"/>
        </w:rPr>
        <w:t xml:space="preserve">затраты, связанные с обеспечением беспрепятственного доступа различных категорий инвалидов к рабочим местам посредством сооружения как внутри зданий, так и снаружи специализированного оборудования, вспомогательных средств и приспособлений (установка пандусов, поручней, тактильных табличек, знаков организации путей движения, светозвуковых маяков, расширение дверных проемов, переоборудование санитарно-бытовых помещений, коммуникационные системы для инвалидов с различной нозологией, оборудование климат-контроля для создания благоприятных климатических условий работы и другие), в том числе с привлечением сторонних организаций;</w:t>
      </w:r>
    </w:p>
    <w:p>
      <w:pPr>
        <w:pStyle w:val="0"/>
        <w:spacing w:before="200" w:line-rule="auto"/>
        <w:ind w:firstLine="540"/>
        <w:jc w:val="both"/>
      </w:pPr>
      <w:r>
        <w:rPr>
          <w:sz w:val="20"/>
        </w:rPr>
        <w:t xml:space="preserve">затраты на общехозяйственные нужды, в том числе услуги связи, транспортные услуги;</w:t>
      </w:r>
    </w:p>
    <w:p>
      <w:pPr>
        <w:pStyle w:val="0"/>
        <w:spacing w:before="200" w:line-rule="auto"/>
        <w:ind w:firstLine="540"/>
        <w:jc w:val="both"/>
      </w:pPr>
      <w:r>
        <w:rPr>
          <w:sz w:val="20"/>
        </w:rPr>
        <w:t xml:space="preserve">2) по направлению "создание рабочих мест для инвалидов, в том числе в организациях, учредителями которых являются инвалиды":</w:t>
      </w:r>
    </w:p>
    <w:p>
      <w:pPr>
        <w:pStyle w:val="0"/>
        <w:spacing w:before="200" w:line-rule="auto"/>
        <w:ind w:firstLine="540"/>
        <w:jc w:val="both"/>
      </w:pPr>
      <w:r>
        <w:rPr>
          <w:sz w:val="20"/>
        </w:rPr>
        <w:t xml:space="preserve">приобретение оборудования, материальных запасов, потребляемых (используемых) в процессе выполнения работы по реализации мероприятий программы:</w:t>
      </w:r>
    </w:p>
    <w:p>
      <w:pPr>
        <w:pStyle w:val="0"/>
        <w:spacing w:before="200" w:line-rule="auto"/>
        <w:ind w:firstLine="540"/>
        <w:jc w:val="both"/>
      </w:pPr>
      <w:r>
        <w:rPr>
          <w:sz w:val="20"/>
        </w:rPr>
        <w:t xml:space="preserve">приобретение, монтаж и установка необходимого для рабочего места инвалида технического и организационного оснащения, дополнительного оснащения и обеспечение техническими приспособлениями (в том числе визуальными, акустическими, тактильными и иными), мебелью, оборудованием (в том числе специальным), программным обеспечением, оборудование климат-контролем и другим вспомогательным оснащением, в том числе с привлечением сторонних организаций;</w:t>
      </w:r>
    </w:p>
    <w:p>
      <w:pPr>
        <w:pStyle w:val="0"/>
        <w:spacing w:before="200" w:line-rule="auto"/>
        <w:ind w:firstLine="540"/>
        <w:jc w:val="both"/>
      </w:pPr>
      <w:r>
        <w:rPr>
          <w:sz w:val="20"/>
        </w:rPr>
        <w:t xml:space="preserve">затраты на общехозяйственные нужды, в том числе услуги связи, транспортные услуги; аренда помещений/площадей для размещения рабочего места, созданного для инвалида, в том числе с привлечением сторонних организаций;</w:t>
      </w:r>
    </w:p>
    <w:p>
      <w:pPr>
        <w:pStyle w:val="0"/>
        <w:spacing w:before="200" w:line-rule="auto"/>
        <w:ind w:firstLine="540"/>
        <w:jc w:val="both"/>
      </w:pPr>
      <w:r>
        <w:rPr>
          <w:sz w:val="20"/>
        </w:rPr>
        <w:t xml:space="preserve">оплата труда инвалида, трудоустроенного по срочному трудовому договору у Заявителя и (или) в организациях, учредителем которых является Заявитель, с учетом страховых взносов;</w:t>
      </w:r>
    </w:p>
    <w:p>
      <w:pPr>
        <w:pStyle w:val="0"/>
        <w:spacing w:before="200" w:line-rule="auto"/>
        <w:ind w:firstLine="540"/>
        <w:jc w:val="both"/>
      </w:pPr>
      <w:r>
        <w:rPr>
          <w:sz w:val="20"/>
        </w:rPr>
        <w:t xml:space="preserve">3) по направлению "обучение инвалидов в том числе новым профессиям и их трудоустройство после обучения":</w:t>
      </w:r>
    </w:p>
    <w:p>
      <w:pPr>
        <w:pStyle w:val="0"/>
        <w:spacing w:before="200" w:line-rule="auto"/>
        <w:ind w:firstLine="540"/>
        <w:jc w:val="both"/>
      </w:pPr>
      <w:r>
        <w:rPr>
          <w:sz w:val="20"/>
        </w:rPr>
        <w:t xml:space="preserve">затраты на организацию и проведение мероприятий по обучению инвалидов, в том числе с привлечением сторонних организаций (оплата расходов на оплату обучения инвалидов, оплата затрат приглашенных специалистов (оплата труда, транспортные расходы), аренду помещений/площадей для проведения обучающих семинаров для инвалидов и другое);</w:t>
      </w:r>
    </w:p>
    <w:p>
      <w:pPr>
        <w:pStyle w:val="0"/>
        <w:spacing w:before="200" w:line-rule="auto"/>
        <w:ind w:firstLine="540"/>
        <w:jc w:val="both"/>
      </w:pPr>
      <w:r>
        <w:rPr>
          <w:sz w:val="20"/>
        </w:rPr>
        <w:t xml:space="preserve">приобретение оборудования, материальных запасов, потребляемых (используемых) в процессе реализации мероприятий программы (приобретение специальных аудиопрограмм для слабовидящих и слепых людей; специального программного обеспечения и специального оборудования для слабослышащих, слабовидящих и иных категорий инвалидов; другого оснащения);</w:t>
      </w:r>
    </w:p>
    <w:p>
      <w:pPr>
        <w:pStyle w:val="0"/>
        <w:spacing w:before="200" w:line-rule="auto"/>
        <w:ind w:firstLine="540"/>
        <w:jc w:val="both"/>
      </w:pPr>
      <w:r>
        <w:rPr>
          <w:sz w:val="20"/>
        </w:rPr>
        <w:t xml:space="preserve">затраты на общехозяйственные нужды, в том числе услуги связи, транспортные услуги.</w:t>
      </w:r>
    </w:p>
    <w:p>
      <w:pPr>
        <w:pStyle w:val="0"/>
        <w:spacing w:before="200" w:line-rule="auto"/>
        <w:ind w:firstLine="540"/>
        <w:jc w:val="both"/>
      </w:pPr>
      <w:r>
        <w:rPr>
          <w:sz w:val="20"/>
        </w:rPr>
        <w:t xml:space="preserve">3.10. Получателю субсидии, представившему программу со сроком реализации более 1 года, субсидия перечисляется в соответствии с планом-графиком перечисления субсидии, предусмотренным Соглашением, в течение срока действия Соглашения.</w:t>
      </w:r>
    </w:p>
    <w:p>
      <w:pPr>
        <w:pStyle w:val="0"/>
        <w:spacing w:before="200" w:line-rule="auto"/>
        <w:ind w:firstLine="540"/>
        <w:jc w:val="both"/>
      </w:pPr>
      <w:r>
        <w:rPr>
          <w:sz w:val="20"/>
        </w:rPr>
        <w:t xml:space="preserve">3.11.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pPr>
        <w:pStyle w:val="0"/>
        <w:spacing w:before="200" w:line-rule="auto"/>
        <w:ind w:firstLine="540"/>
        <w:jc w:val="both"/>
      </w:pPr>
      <w:r>
        <w:rPr>
          <w:sz w:val="20"/>
        </w:rPr>
        <w:t xml:space="preserve">3.12. В случае уменьшения Департаменту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стороны Соглашения согласовывают новые условия предоставления субсидии или условия расторжения Соглашения при недостижении согласия по новым условиям в установленном в Соглашении порядке.</w:t>
      </w:r>
    </w:p>
    <w:p>
      <w:pPr>
        <w:pStyle w:val="0"/>
        <w:spacing w:before="200" w:line-rule="auto"/>
        <w:ind w:firstLine="540"/>
        <w:jc w:val="both"/>
      </w:pPr>
      <w:r>
        <w:rPr>
          <w:sz w:val="20"/>
        </w:rPr>
        <w:t xml:space="preserve">3.13. Результатом предоставления субсидии на дату завершения срока действия Соглашения является:</w:t>
      </w:r>
    </w:p>
    <w:p>
      <w:pPr>
        <w:pStyle w:val="0"/>
        <w:spacing w:before="200" w:line-rule="auto"/>
        <w:ind w:firstLine="540"/>
        <w:jc w:val="both"/>
      </w:pPr>
      <w:r>
        <w:rPr>
          <w:sz w:val="20"/>
        </w:rPr>
        <w:t xml:space="preserve">численность инвалидов, которым обеспечены доступные условия при трудоустройстве (включая оказание консультационной помощи по вопросам занятости инвалидов), указанная в Соглашении (для направления, предусмотренного </w:t>
      </w:r>
      <w:hyperlink w:history="0" w:anchor="P3876" w:tooltip="обеспечение инвалидам при трудоустройстве равных с другими гражданами возможностей;">
        <w:r>
          <w:rPr>
            <w:sz w:val="20"/>
            <w:color w:val="0000ff"/>
          </w:rPr>
          <w:t xml:space="preserve">абзацем вторым пункта 3.8</w:t>
        </w:r>
      </w:hyperlink>
      <w:r>
        <w:rPr>
          <w:sz w:val="20"/>
        </w:rPr>
        <w:t xml:space="preserve"> Порядка);</w:t>
      </w:r>
    </w:p>
    <w:p>
      <w:pPr>
        <w:pStyle w:val="0"/>
        <w:spacing w:before="200" w:line-rule="auto"/>
        <w:ind w:firstLine="540"/>
        <w:jc w:val="both"/>
      </w:pPr>
      <w:r>
        <w:rPr>
          <w:sz w:val="20"/>
        </w:rPr>
        <w:t xml:space="preserve">численность трудоустроенных инвалидов на организованные рабочие места, указанная в Соглашении (для направления, предусмотренного </w:t>
      </w:r>
      <w:hyperlink w:history="0" w:anchor="P3877" w:tooltip="создание рабочих мест для инвалидов, в том числе в организациях, учредителями которых являются инвалиды;">
        <w:r>
          <w:rPr>
            <w:sz w:val="20"/>
            <w:color w:val="0000ff"/>
          </w:rPr>
          <w:t xml:space="preserve">абзацем третьим пункта 3.8</w:t>
        </w:r>
      </w:hyperlink>
      <w:r>
        <w:rPr>
          <w:sz w:val="20"/>
        </w:rPr>
        <w:t xml:space="preserve"> Порядка);</w:t>
      </w:r>
    </w:p>
    <w:p>
      <w:pPr>
        <w:pStyle w:val="0"/>
        <w:spacing w:before="200" w:line-rule="auto"/>
        <w:ind w:firstLine="540"/>
        <w:jc w:val="both"/>
      </w:pPr>
      <w:r>
        <w:rPr>
          <w:sz w:val="20"/>
        </w:rPr>
        <w:t xml:space="preserve">численность инвалидов, прошедших обучение по новым профессиям и трудоустроенным после обучения, указанная в Соглашении (для направления, предусмотренного </w:t>
      </w:r>
      <w:hyperlink w:history="0" w:anchor="P3878" w:tooltip="обучение инвалидов в том числе новым профессиям и их трудоустройство после обучения.">
        <w:r>
          <w:rPr>
            <w:sz w:val="20"/>
            <w:color w:val="0000ff"/>
          </w:rPr>
          <w:t xml:space="preserve">абзацем четвертым пункта 3.8</w:t>
        </w:r>
      </w:hyperlink>
      <w:r>
        <w:rPr>
          <w:sz w:val="20"/>
        </w:rPr>
        <w:t xml:space="preserve"> Порядка).</w:t>
      </w:r>
    </w:p>
    <w:p>
      <w:pPr>
        <w:pStyle w:val="0"/>
        <w:spacing w:before="200" w:line-rule="auto"/>
        <w:ind w:firstLine="540"/>
        <w:jc w:val="both"/>
      </w:pPr>
      <w:r>
        <w:rPr>
          <w:sz w:val="20"/>
        </w:rPr>
        <w:t xml:space="preserve">3.14. Получатели субсидии, заключившие Соглашение со сроком действия более 1 года, могут повторно подать Заявку для участия в отборе по окончании срока действия Соглашения.</w:t>
      </w:r>
    </w:p>
    <w:p>
      <w:pPr>
        <w:pStyle w:val="0"/>
        <w:spacing w:before="200" w:line-rule="auto"/>
        <w:ind w:firstLine="540"/>
        <w:jc w:val="both"/>
      </w:pPr>
      <w:r>
        <w:rPr>
          <w:sz w:val="20"/>
        </w:rPr>
        <w:t xml:space="preserve">3.15. Остатки субсидии, не использованные в отчетном финансовом году, находящиеся на счете получателя субсидии, расходуются им на те же цели в текущем финансовом году на основании правового акта Департамента о наличии потребности полностью или частично в указанных средствах, принятого в соответствии с порядком, утвержденным Правительством автономного округа.</w:t>
      </w:r>
    </w:p>
    <w:p>
      <w:pPr>
        <w:pStyle w:val="0"/>
        <w:jc w:val="both"/>
      </w:pPr>
      <w:r>
        <w:rPr>
          <w:sz w:val="20"/>
        </w:rPr>
        <w:t xml:space="preserve">(п. 3.15 введен </w:t>
      </w:r>
      <w:hyperlink w:history="0" r:id="rId584"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13.05.2022 N 194-п)</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4.1. Получатель субсидии представляет в Департамент за 3 рабочих дня до окончания срока действия Соглашения отчет о расходов, источником финансового обеспечения которых является субсидия, и отчет о достижении результата предоставления субсидии по формам, установленным в Соглашении.</w:t>
      </w:r>
    </w:p>
    <w:p>
      <w:pPr>
        <w:pStyle w:val="0"/>
        <w:spacing w:before="200" w:line-rule="auto"/>
        <w:ind w:firstLine="540"/>
        <w:jc w:val="both"/>
      </w:pPr>
      <w:r>
        <w:rPr>
          <w:sz w:val="20"/>
        </w:rPr>
        <w:t xml:space="preserve">4.2. Департамент вправе установить в Соглашении сроки и формы представления Получателем субсидии дополнительной отчетности.</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субсидии и ответственности за их нарушение</w:t>
      </w:r>
    </w:p>
    <w:p>
      <w:pPr>
        <w:pStyle w:val="0"/>
        <w:jc w:val="center"/>
      </w:pPr>
      <w:r>
        <w:rPr>
          <w:sz w:val="20"/>
        </w:rPr>
        <w:t xml:space="preserve">(в ред. </w:t>
      </w:r>
      <w:hyperlink w:history="0" r:id="rId585"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13.05.2022 N 194-п)</w:t>
      </w:r>
    </w:p>
    <w:p>
      <w:pPr>
        <w:pStyle w:val="0"/>
        <w:jc w:val="both"/>
      </w:pPr>
      <w:r>
        <w:rPr>
          <w:sz w:val="20"/>
        </w:rPr>
      </w:r>
    </w:p>
    <w:p>
      <w:pPr>
        <w:pStyle w:val="0"/>
        <w:ind w:firstLine="540"/>
        <w:jc w:val="both"/>
      </w:pPr>
      <w:r>
        <w:rPr>
          <w:sz w:val="20"/>
        </w:rPr>
        <w:t xml:space="preserve">5.1. Департамент, центр занятости населения осуществляют в пределах своих полномочий, предусмотренных законодательством Российской Федерации и автономного округа,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а в случаях если получателем субсидии является некоммерческая организация, - проверку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w:t>
      </w:r>
    </w:p>
    <w:p>
      <w:pPr>
        <w:pStyle w:val="0"/>
        <w:spacing w:before="200" w:line-rule="auto"/>
        <w:ind w:firstLine="540"/>
        <w:jc w:val="both"/>
      </w:pPr>
      <w:r>
        <w:rPr>
          <w:sz w:val="20"/>
        </w:rPr>
        <w:t xml:space="preserve">Органы государственного финансового контроля автономного округа осуществляют проверку соблюдения получателем субсидии порядка и условий предоставления субсидии в соответствии со </w:t>
      </w:r>
      <w:hyperlink w:history="0" r:id="rId586" w:tooltip="&quot;Бюджетный кодекс Российской Федерации&quot; от 31.07.1998 N 145-ФЗ (ред. от 02.11.2023) {КонсультантПлюс}">
        <w:r>
          <w:rPr>
            <w:sz w:val="20"/>
            <w:color w:val="0000ff"/>
          </w:rPr>
          <w:t xml:space="preserve">статьями 268.1</w:t>
        </w:r>
      </w:hyperlink>
      <w:r>
        <w:rPr>
          <w:sz w:val="20"/>
        </w:rPr>
        <w:t xml:space="preserve"> и </w:t>
      </w:r>
      <w:hyperlink w:history="0" r:id="rId587" w:tooltip="&quot;Бюджетный кодекс Российской Федерации&quot; от 31.07.1998 N 145-ФЗ (ред. от 02.11.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588"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13.05.2022 N 194-п)</w:t>
      </w:r>
    </w:p>
    <w:p>
      <w:pPr>
        <w:pStyle w:val="0"/>
        <w:spacing w:before="200" w:line-rule="auto"/>
        <w:ind w:firstLine="540"/>
        <w:jc w:val="both"/>
      </w:pPr>
      <w:r>
        <w:rPr>
          <w:sz w:val="20"/>
        </w:rPr>
        <w:t xml:space="preserve">5.2.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spacing w:before="200" w:line-rule="auto"/>
        <w:ind w:firstLine="540"/>
        <w:jc w:val="both"/>
      </w:pPr>
      <w:r>
        <w:rPr>
          <w:sz w:val="20"/>
        </w:rPr>
        <w:t xml:space="preserve">5.3. Департамент принимает решение о возврате субсидии в случаях:</w:t>
      </w:r>
    </w:p>
    <w:p>
      <w:pPr>
        <w:pStyle w:val="0"/>
        <w:spacing w:before="200" w:line-rule="auto"/>
        <w:ind w:firstLine="540"/>
        <w:jc w:val="both"/>
      </w:pPr>
      <w:r>
        <w:rPr>
          <w:sz w:val="20"/>
        </w:rPr>
        <w:t xml:space="preserve">установления факта нецелевого использования либо неиспользования полученной субсидии;</w:t>
      </w:r>
    </w:p>
    <w:p>
      <w:pPr>
        <w:pStyle w:val="0"/>
        <w:spacing w:before="200" w:line-rule="auto"/>
        <w:ind w:firstLine="540"/>
        <w:jc w:val="both"/>
      </w:pPr>
      <w:r>
        <w:rPr>
          <w:sz w:val="20"/>
        </w:rPr>
        <w:t xml:space="preserve">недостижения показателя, необходимого для результата предоставления субсидии;</w:t>
      </w:r>
    </w:p>
    <w:p>
      <w:pPr>
        <w:pStyle w:val="0"/>
        <w:spacing w:before="200" w:line-rule="auto"/>
        <w:ind w:firstLine="540"/>
        <w:jc w:val="both"/>
      </w:pPr>
      <w:r>
        <w:rPr>
          <w:sz w:val="20"/>
        </w:rPr>
        <w:t xml:space="preserve">установления фактов нарушения Получателем субсидии условий ее предоставления, выявленных по результатам проверок, проведенных Департаментом и (или) органом государственного финансового контроля;</w:t>
      </w:r>
    </w:p>
    <w:p>
      <w:pPr>
        <w:pStyle w:val="0"/>
        <w:spacing w:before="200" w:line-rule="auto"/>
        <w:ind w:firstLine="540"/>
        <w:jc w:val="both"/>
      </w:pPr>
      <w:r>
        <w:rPr>
          <w:sz w:val="20"/>
        </w:rPr>
        <w:t xml:space="preserve">нарушения Получателем субсидии условий, обязательств по достижению результата предоставления субсидии, предоставлению отчетности, установленных Соглашением;</w:t>
      </w:r>
    </w:p>
    <w:p>
      <w:pPr>
        <w:pStyle w:val="0"/>
        <w:spacing w:before="200" w:line-rule="auto"/>
        <w:ind w:firstLine="540"/>
        <w:jc w:val="both"/>
      </w:pPr>
      <w:r>
        <w:rPr>
          <w:sz w:val="20"/>
        </w:rPr>
        <w:t xml:space="preserve">уклонения Получателем субсидии от контроля Департаментом и органом государственного финансового контроля автономного округа соблюдения условий Соглашения.</w:t>
      </w:r>
    </w:p>
    <w:p>
      <w:pPr>
        <w:pStyle w:val="0"/>
        <w:spacing w:before="200" w:line-rule="auto"/>
        <w:ind w:firstLine="540"/>
        <w:jc w:val="both"/>
      </w:pPr>
      <w:r>
        <w:rPr>
          <w:sz w:val="20"/>
        </w:rPr>
        <w:t xml:space="preserve">5.4. Департамент в течение 15 календарных дней со дня выявления оснований для возврата субсидии направляет в адрес Получателя субсидии почтовым отправлением с уведомлением о вручении письменное требование о возврате субсидии (далее - требование).</w:t>
      </w:r>
    </w:p>
    <w:p>
      <w:pPr>
        <w:pStyle w:val="0"/>
        <w:spacing w:before="200" w:line-rule="auto"/>
        <w:ind w:firstLine="540"/>
        <w:jc w:val="both"/>
      </w:pPr>
      <w:r>
        <w:rPr>
          <w:sz w:val="20"/>
        </w:rPr>
        <w:t xml:space="preserve">5.5. Получатель субсидии в течение 10 календарных дней с даты получения требования обязан осуществить возврат субсидии по реквизитам, указанным в требовании, уведомив Департамент о факте перечисления субсидии путем направления копии платежного поручения, подтверждающего возврат.</w:t>
      </w:r>
    </w:p>
    <w:p>
      <w:pPr>
        <w:pStyle w:val="0"/>
        <w:spacing w:before="200" w:line-rule="auto"/>
        <w:ind w:firstLine="540"/>
        <w:jc w:val="both"/>
      </w:pPr>
      <w:r>
        <w:rPr>
          <w:sz w:val="20"/>
        </w:rPr>
        <w:t xml:space="preserve">5.6. В случае невыполнения требования взыскание осуществляется в судебном порядке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18</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3939" w:name="P3939"/>
    <w:bookmarkEnd w:id="3939"/>
    <w:p>
      <w:pPr>
        <w:pStyle w:val="2"/>
        <w:jc w:val="center"/>
      </w:pPr>
      <w:r>
        <w:rPr>
          <w:sz w:val="20"/>
        </w:rPr>
        <w:t xml:space="preserve">ПЕРЕЧЕНЬ</w:t>
      </w:r>
    </w:p>
    <w:p>
      <w:pPr>
        <w:pStyle w:val="2"/>
        <w:jc w:val="center"/>
      </w:pPr>
      <w:r>
        <w:rPr>
          <w:sz w:val="20"/>
        </w:rPr>
        <w:t xml:space="preserve">МЕР, НАПРАВЛЕННЫХ НА НЕДОПУЩЕНИЕ ФОРМИРОВАНИЯ ЗАДОЛЖЕННОСТИ</w:t>
      </w:r>
    </w:p>
    <w:p>
      <w:pPr>
        <w:pStyle w:val="2"/>
        <w:jc w:val="center"/>
      </w:pPr>
      <w:r>
        <w:rPr>
          <w:sz w:val="20"/>
        </w:rPr>
        <w:t xml:space="preserve">ПО ВЫПЛАТЕ ЗАРАБОТНОЙ ПЛАТЫ (ДАЛЕЕ - ПЕРЕЧЕНЬ)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89"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color w:val="392c69"/>
              </w:rPr>
              <w:t xml:space="preserve"> Правительства ХМАО - Югры от 01.07.2022 N 298-п)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1.1. Перечень определяет совокупность мер, принимаемых исполнительными органами Ханты-Мансийского автономного округа - Югры (далее - автономный округ) и органами местного самоуправления муниципальных образований автономного округа по недопущению формирования задолженности по выплате заработной платы.</w:t>
      </w:r>
    </w:p>
    <w:p>
      <w:pPr>
        <w:pStyle w:val="0"/>
        <w:jc w:val="both"/>
      </w:pPr>
      <w:r>
        <w:rPr>
          <w:sz w:val="20"/>
        </w:rPr>
        <w:t xml:space="preserve">(в ред. </w:t>
      </w:r>
      <w:hyperlink w:history="0" r:id="rId590"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1.2. В Перечне применяются следующие понятия:</w:t>
      </w:r>
    </w:p>
    <w:p>
      <w:pPr>
        <w:pStyle w:val="0"/>
        <w:spacing w:before="200" w:line-rule="auto"/>
        <w:ind w:firstLine="540"/>
        <w:jc w:val="both"/>
      </w:pPr>
      <w:r>
        <w:rPr>
          <w:sz w:val="20"/>
        </w:rPr>
        <w:t xml:space="preserve">организации, находящиеся под риском возникновения задолженности по выплате заработной платы, - организации, имеющие задолженность по уплате налогов в бюджет, взносов во внебюджетные фонды в сумме, превышающей доходы организации от финансово-хозяйственной деятельности более чем за 1 месяц (более чем 1 среднемесячный доход за год) (далее также - организации);</w:t>
      </w:r>
    </w:p>
    <w:p>
      <w:pPr>
        <w:pStyle w:val="0"/>
        <w:spacing w:before="200" w:line-rule="auto"/>
        <w:ind w:firstLine="540"/>
        <w:jc w:val="both"/>
      </w:pPr>
      <w:r>
        <w:rPr>
          <w:sz w:val="20"/>
        </w:rPr>
        <w:t xml:space="preserve">задолженность по выплате заработной платы - сумма денежных средств, не полученных (недополученных) работниками в установленный в соответствии со </w:t>
      </w:r>
      <w:hyperlink w:history="0" r:id="rId59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136</w:t>
        </w:r>
      </w:hyperlink>
      <w:r>
        <w:rPr>
          <w:sz w:val="20"/>
        </w:rPr>
        <w:t xml:space="preserve"> Трудового кодекса Российской Федерации день выплаты заработной платы.</w:t>
      </w:r>
    </w:p>
    <w:bookmarkStart w:id="3950" w:name="P3950"/>
    <w:bookmarkEnd w:id="3950"/>
    <w:p>
      <w:pPr>
        <w:pStyle w:val="0"/>
        <w:spacing w:before="200" w:line-rule="auto"/>
        <w:ind w:firstLine="540"/>
        <w:jc w:val="both"/>
      </w:pPr>
      <w:r>
        <w:rPr>
          <w:sz w:val="20"/>
        </w:rPr>
        <w:t xml:space="preserve">1.3. Для организации деятельности по недопущению формирования задолженности по выплате заработной платы исполнительные органы автономного округа, имеющие подведомственные организации, назначают ответственных должностных лиц.</w:t>
      </w:r>
    </w:p>
    <w:p>
      <w:pPr>
        <w:pStyle w:val="0"/>
        <w:jc w:val="both"/>
      </w:pPr>
      <w:r>
        <w:rPr>
          <w:sz w:val="20"/>
        </w:rPr>
        <w:t xml:space="preserve">(в ред. </w:t>
      </w:r>
      <w:hyperlink w:history="0" r:id="rId592"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1.4. Департамент экономического развития автономного округа совместно с бюджетным учреждением автономного округа "Региональный аналитический центр" обеспечивает ответственных должностных лиц, указанных в </w:t>
      </w:r>
      <w:hyperlink w:history="0" w:anchor="P3950" w:tooltip="1.3. Для организации деятельности по недопущению формирования задолженности по выплате заработной платы исполнительные органы автономного округа, имеющие подведомственные организации, назначают ответственных должностных лиц.">
        <w:r>
          <w:rPr>
            <w:sz w:val="20"/>
            <w:color w:val="0000ff"/>
          </w:rPr>
          <w:t xml:space="preserve">пункте 1.3</w:t>
        </w:r>
      </w:hyperlink>
      <w:r>
        <w:rPr>
          <w:sz w:val="20"/>
        </w:rPr>
        <w:t xml:space="preserve"> Перечня, возможностью просмотра закрытой части информационной системы "АИС Мониторинг Югра", в которой размещается информация о задолженности организаций по налогам и сборам в бюджетную систему Российской Федерации и страховым взносам во внебюджетные государственные фонды.</w:t>
      </w:r>
    </w:p>
    <w:p>
      <w:pPr>
        <w:pStyle w:val="0"/>
        <w:jc w:val="both"/>
      </w:pPr>
      <w:r>
        <w:rPr>
          <w:sz w:val="20"/>
        </w:rPr>
      </w:r>
    </w:p>
    <w:p>
      <w:pPr>
        <w:pStyle w:val="2"/>
        <w:outlineLvl w:val="1"/>
        <w:jc w:val="center"/>
      </w:pPr>
      <w:r>
        <w:rPr>
          <w:sz w:val="20"/>
        </w:rPr>
        <w:t xml:space="preserve">II. Участники мероприятий по недопущению формирования</w:t>
      </w:r>
    </w:p>
    <w:p>
      <w:pPr>
        <w:pStyle w:val="2"/>
        <w:jc w:val="center"/>
      </w:pPr>
      <w:r>
        <w:rPr>
          <w:sz w:val="20"/>
        </w:rPr>
        <w:t xml:space="preserve">задолженности по выплате заработной платы</w:t>
      </w:r>
    </w:p>
    <w:p>
      <w:pPr>
        <w:pStyle w:val="0"/>
        <w:jc w:val="both"/>
      </w:pPr>
      <w:r>
        <w:rPr>
          <w:sz w:val="20"/>
        </w:rPr>
      </w:r>
    </w:p>
    <w:p>
      <w:pPr>
        <w:pStyle w:val="0"/>
        <w:ind w:firstLine="540"/>
        <w:jc w:val="both"/>
      </w:pPr>
      <w:r>
        <w:rPr>
          <w:sz w:val="20"/>
        </w:rPr>
        <w:t xml:space="preserve">2.1. Участниками мероприятий по недопущению формирования задолженности по выплате заработной платы являются:</w:t>
      </w:r>
    </w:p>
    <w:p>
      <w:pPr>
        <w:pStyle w:val="0"/>
        <w:spacing w:before="200" w:line-rule="auto"/>
        <w:ind w:firstLine="540"/>
        <w:jc w:val="both"/>
      </w:pPr>
      <w:r>
        <w:rPr>
          <w:sz w:val="20"/>
        </w:rPr>
        <w:t xml:space="preserve">исполнительные органы автономного округа и созданные ими рабочие группы по мониторингу финансово-экономического состояния организаций отрасли, вида экономической деятельности (далее - рабочие группы);</w:t>
      </w:r>
    </w:p>
    <w:p>
      <w:pPr>
        <w:pStyle w:val="0"/>
        <w:jc w:val="both"/>
      </w:pPr>
      <w:r>
        <w:rPr>
          <w:sz w:val="20"/>
        </w:rPr>
        <w:t xml:space="preserve">(в ред. </w:t>
      </w:r>
      <w:hyperlink w:history="0" r:id="rId593"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органы местного самоуправления муниципальных образований автономного округа и созданные ими межведомственные комиссии (рабочие группы) по вопросам задолженности организаций по выплате заработной платы (далее - межведомственные комиссии);</w:t>
      </w:r>
    </w:p>
    <w:p>
      <w:pPr>
        <w:pStyle w:val="0"/>
        <w:spacing w:before="200" w:line-rule="auto"/>
        <w:ind w:firstLine="540"/>
        <w:jc w:val="both"/>
      </w:pPr>
      <w:r>
        <w:rPr>
          <w:sz w:val="20"/>
        </w:rPr>
        <w:t xml:space="preserve">организации, находящиеся под риском возникновения задолженности по выплате заработной платы;</w:t>
      </w:r>
    </w:p>
    <w:p>
      <w:pPr>
        <w:pStyle w:val="0"/>
        <w:spacing w:before="200" w:line-rule="auto"/>
        <w:ind w:firstLine="540"/>
        <w:jc w:val="both"/>
      </w:pPr>
      <w:r>
        <w:rPr>
          <w:sz w:val="20"/>
        </w:rPr>
        <w:t xml:space="preserve">Департамент труда и занятости населения автономного округа.</w:t>
      </w:r>
    </w:p>
    <w:p>
      <w:pPr>
        <w:pStyle w:val="0"/>
        <w:jc w:val="both"/>
      </w:pPr>
      <w:r>
        <w:rPr>
          <w:sz w:val="20"/>
        </w:rPr>
      </w:r>
    </w:p>
    <w:bookmarkStart w:id="3964" w:name="P3964"/>
    <w:bookmarkEnd w:id="3964"/>
    <w:p>
      <w:pPr>
        <w:pStyle w:val="2"/>
        <w:outlineLvl w:val="1"/>
        <w:jc w:val="center"/>
      </w:pPr>
      <w:r>
        <w:rPr>
          <w:sz w:val="20"/>
        </w:rPr>
        <w:t xml:space="preserve">III. Перечень мер по недопущению формирования задолженности</w:t>
      </w:r>
    </w:p>
    <w:p>
      <w:pPr>
        <w:pStyle w:val="2"/>
        <w:jc w:val="center"/>
      </w:pPr>
      <w:r>
        <w:rPr>
          <w:sz w:val="20"/>
        </w:rPr>
        <w:t xml:space="preserve">по выплате заработной платы, принимаемых исполнительными</w:t>
      </w:r>
    </w:p>
    <w:p>
      <w:pPr>
        <w:pStyle w:val="2"/>
        <w:jc w:val="center"/>
      </w:pPr>
      <w:r>
        <w:rPr>
          <w:sz w:val="20"/>
        </w:rPr>
        <w:t xml:space="preserve">органами Ханты-Мансийского автономного округа - Югры</w:t>
      </w:r>
    </w:p>
    <w:p>
      <w:pPr>
        <w:pStyle w:val="2"/>
        <w:jc w:val="center"/>
      </w:pPr>
      <w:r>
        <w:rPr>
          <w:sz w:val="20"/>
        </w:rPr>
        <w:t xml:space="preserve">и созданными ими рабочими группами, органами местного</w:t>
      </w:r>
    </w:p>
    <w:p>
      <w:pPr>
        <w:pStyle w:val="2"/>
        <w:jc w:val="center"/>
      </w:pPr>
      <w:r>
        <w:rPr>
          <w:sz w:val="20"/>
        </w:rPr>
        <w:t xml:space="preserve">самоуправления Ханты-Мансийского автономного округа - Югры</w:t>
      </w:r>
    </w:p>
    <w:p>
      <w:pPr>
        <w:pStyle w:val="2"/>
        <w:jc w:val="center"/>
      </w:pPr>
      <w:r>
        <w:rPr>
          <w:sz w:val="20"/>
        </w:rPr>
        <w:t xml:space="preserve">и созданными ими межведомственными комиссиями</w:t>
      </w:r>
    </w:p>
    <w:p>
      <w:pPr>
        <w:pStyle w:val="0"/>
        <w:jc w:val="center"/>
      </w:pPr>
      <w:r>
        <w:rPr>
          <w:sz w:val="20"/>
        </w:rPr>
        <w:t xml:space="preserve">(в ред. </w:t>
      </w:r>
      <w:hyperlink w:history="0" r:id="rId594"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w:t>
      </w:r>
    </w:p>
    <w:p>
      <w:pPr>
        <w:pStyle w:val="0"/>
        <w:jc w:val="center"/>
      </w:pPr>
      <w:r>
        <w:rPr>
          <w:sz w:val="20"/>
        </w:rPr>
        <w:t xml:space="preserve">от 01.07.2022 N 298-п)</w:t>
      </w:r>
    </w:p>
    <w:p>
      <w:pPr>
        <w:pStyle w:val="0"/>
        <w:jc w:val="both"/>
      </w:pPr>
      <w:r>
        <w:rPr>
          <w:sz w:val="20"/>
        </w:rPr>
      </w:r>
    </w:p>
    <w:p>
      <w:pPr>
        <w:pStyle w:val="0"/>
        <w:ind w:firstLine="540"/>
        <w:jc w:val="both"/>
      </w:pPr>
      <w:r>
        <w:rPr>
          <w:sz w:val="20"/>
        </w:rPr>
        <w:t xml:space="preserve">3.1. Исполнительные органы автономного округа, органы местного самоуправления муниципальных образований автономного округа осуществляют:</w:t>
      </w:r>
    </w:p>
    <w:p>
      <w:pPr>
        <w:pStyle w:val="0"/>
        <w:jc w:val="both"/>
      </w:pPr>
      <w:r>
        <w:rPr>
          <w:sz w:val="20"/>
        </w:rPr>
        <w:t xml:space="preserve">(в ред. </w:t>
      </w:r>
      <w:hyperlink w:history="0" r:id="rId595"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3.1.1. Ведомственный контроль за своевременной выплатой в полном объеме заработной платы работникам подведомственных организаций в соответствии с </w:t>
      </w:r>
      <w:hyperlink w:history="0" r:id="rId596" w:tooltip="Закон ХМАО - Югры от 20.09.2010 N 142-оз (ред. от 27.10.2022) &quot;О ведомственном контроле за соблюдением трудового законодательства и иных нормативных правовых актов, содержащих нормы трудового права&quot; (принят Думой Ханты-Мансийского автономного округа - Югры 17.09.2010) {КонсультантПлюс}">
        <w:r>
          <w:rPr>
            <w:sz w:val="20"/>
            <w:color w:val="0000ff"/>
          </w:rPr>
          <w:t xml:space="preserve">Законом</w:t>
        </w:r>
      </w:hyperlink>
      <w:r>
        <w:rPr>
          <w:sz w:val="20"/>
        </w:rPr>
        <w:t xml:space="preserve"> автономного округа от 20 сентября 2010 года N 142-оз "О ведомственном контроле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3.1.2. Контроль за обеспечением исполнения платежных обязательств по заключенным государственным и муниципальным контрактам, договорам на выполнение работ, услуг.</w:t>
      </w:r>
    </w:p>
    <w:p>
      <w:pPr>
        <w:pStyle w:val="0"/>
        <w:spacing w:before="200" w:line-rule="auto"/>
        <w:ind w:firstLine="540"/>
        <w:jc w:val="both"/>
      </w:pPr>
      <w:r>
        <w:rPr>
          <w:sz w:val="20"/>
        </w:rPr>
        <w:t xml:space="preserve">3.2. Исполнительные органы автономного округа и созданные ими рабочие группы, органы местного самоуправления муниципальных образований автономного округа и созданные ими межведомственные комиссии осуществляют:</w:t>
      </w:r>
    </w:p>
    <w:p>
      <w:pPr>
        <w:pStyle w:val="0"/>
        <w:jc w:val="both"/>
      </w:pPr>
      <w:r>
        <w:rPr>
          <w:sz w:val="20"/>
        </w:rPr>
        <w:t xml:space="preserve">(в ред. </w:t>
      </w:r>
      <w:hyperlink w:history="0" r:id="rId597"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spacing w:before="200" w:line-rule="auto"/>
        <w:ind w:firstLine="540"/>
        <w:jc w:val="both"/>
      </w:pPr>
      <w:r>
        <w:rPr>
          <w:sz w:val="20"/>
        </w:rPr>
        <w:t xml:space="preserve">3.2.1. Мониторинг финансово-хозяйственной деятельности организаций, находящихся под риском возникновения задолженности по выплате заработной платы, который осуществляется с использованием информации о задолженности по налогам и сборам в бюджетную систему Российской Федерации и страховым взносам во внебюджетные государственные фонды, размещаемой в закрытой части информационной системы "АИС Мониторинг Югра".</w:t>
      </w:r>
    </w:p>
    <w:p>
      <w:pPr>
        <w:pStyle w:val="0"/>
        <w:spacing w:before="200" w:line-rule="auto"/>
        <w:ind w:firstLine="540"/>
        <w:jc w:val="both"/>
      </w:pPr>
      <w:r>
        <w:rPr>
          <w:sz w:val="20"/>
        </w:rPr>
        <w:t xml:space="preserve">При проведении мониторинга анализируются:</w:t>
      </w:r>
    </w:p>
    <w:p>
      <w:pPr>
        <w:pStyle w:val="0"/>
        <w:spacing w:before="200" w:line-rule="auto"/>
        <w:ind w:firstLine="540"/>
        <w:jc w:val="both"/>
      </w:pPr>
      <w:r>
        <w:rPr>
          <w:sz w:val="20"/>
        </w:rPr>
        <w:t xml:space="preserve">а) возможности восстановления платежеспособности организации;</w:t>
      </w:r>
    </w:p>
    <w:p>
      <w:pPr>
        <w:pStyle w:val="0"/>
        <w:spacing w:before="200" w:line-rule="auto"/>
        <w:ind w:firstLine="540"/>
        <w:jc w:val="both"/>
      </w:pPr>
      <w:r>
        <w:rPr>
          <w:sz w:val="20"/>
        </w:rPr>
        <w:t xml:space="preserve">б) план по восстановлению платежеспособности и выведению организации из кризисной ситуации, подготовленный совместно с руководством организации;</w:t>
      </w:r>
    </w:p>
    <w:p>
      <w:pPr>
        <w:pStyle w:val="0"/>
        <w:spacing w:before="200" w:line-rule="auto"/>
        <w:ind w:firstLine="540"/>
        <w:jc w:val="both"/>
      </w:pPr>
      <w:r>
        <w:rPr>
          <w:sz w:val="20"/>
        </w:rPr>
        <w:t xml:space="preserve">в) размер кредиторской задолженности, возможность реструктуризации задолженности перед контрагентами;</w:t>
      </w:r>
    </w:p>
    <w:p>
      <w:pPr>
        <w:pStyle w:val="0"/>
        <w:spacing w:before="200" w:line-rule="auto"/>
        <w:ind w:firstLine="540"/>
        <w:jc w:val="both"/>
      </w:pPr>
      <w:r>
        <w:rPr>
          <w:sz w:val="20"/>
        </w:rPr>
        <w:t xml:space="preserve">г) размер дебиторской задолженности, в том числе задолженности, реальной к взысканию, и предполагаемых сроков взыскания;</w:t>
      </w:r>
    </w:p>
    <w:p>
      <w:pPr>
        <w:pStyle w:val="0"/>
        <w:spacing w:before="200" w:line-rule="auto"/>
        <w:ind w:firstLine="540"/>
        <w:jc w:val="both"/>
      </w:pPr>
      <w:r>
        <w:rPr>
          <w:sz w:val="20"/>
        </w:rPr>
        <w:t xml:space="preserve">д) наличие имущества с указанием оценочной стоимости и возможных сроков его реализации (в случае если предприятие признано банкротом).</w:t>
      </w:r>
    </w:p>
    <w:p>
      <w:pPr>
        <w:pStyle w:val="0"/>
        <w:spacing w:before="200" w:line-rule="auto"/>
        <w:ind w:firstLine="540"/>
        <w:jc w:val="both"/>
      </w:pPr>
      <w:r>
        <w:rPr>
          <w:sz w:val="20"/>
        </w:rPr>
        <w:t xml:space="preserve">3.2.2. Рассмотрение с участием территориальных органов Федеральной налоговой службы вопросов о возможности предоставления организациям - должникам по заработной плате отсрочки по погашению задолженности по оплате налогов и сборов.</w:t>
      </w:r>
    </w:p>
    <w:p>
      <w:pPr>
        <w:pStyle w:val="0"/>
        <w:spacing w:before="200" w:line-rule="auto"/>
        <w:ind w:firstLine="540"/>
        <w:jc w:val="both"/>
      </w:pPr>
      <w:r>
        <w:rPr>
          <w:sz w:val="20"/>
        </w:rPr>
        <w:t xml:space="preserve">3.2.3. Взаимодействие с первичными профсоюзными организациями на предмет предоставления информации по фактам наличия в организации нарушений законодательства, связанных с несвоевременной выплатой заработной платы, с последующим направлением представленной информации в Государственную инспекцию труда в автономном округе.</w:t>
      </w:r>
    </w:p>
    <w:p>
      <w:pPr>
        <w:pStyle w:val="0"/>
        <w:spacing w:before="200" w:line-rule="auto"/>
        <w:ind w:firstLine="540"/>
        <w:jc w:val="both"/>
      </w:pPr>
      <w:r>
        <w:rPr>
          <w:sz w:val="20"/>
        </w:rPr>
        <w:t xml:space="preserve">3.2.4. Анализ причин массового высвобождения работников организаций, введения режима неполного рабочего времени с целью оперативного выявления риска возникновения задолженности по выплате заработной платы.</w:t>
      </w:r>
    </w:p>
    <w:p>
      <w:pPr>
        <w:pStyle w:val="0"/>
        <w:spacing w:before="200" w:line-rule="auto"/>
        <w:ind w:firstLine="540"/>
        <w:jc w:val="both"/>
      </w:pPr>
      <w:r>
        <w:rPr>
          <w:sz w:val="20"/>
        </w:rPr>
        <w:t xml:space="preserve">3.2.5. Размещение на официальных сайтах исполнительного органа автономного округа и органа местного самоуправления муниципальных образований автономного округа в сети Интернет информационного баннера "Сообщи о нарушениях выплаты заработной платы", а также организацию работы телефона "горячей линии" по вопросам несвоевременной выплаты заработной платы.</w:t>
      </w:r>
    </w:p>
    <w:p>
      <w:pPr>
        <w:pStyle w:val="0"/>
        <w:jc w:val="both"/>
      </w:pPr>
      <w:r>
        <w:rPr>
          <w:sz w:val="20"/>
        </w:rPr>
        <w:t xml:space="preserve">(в ред. </w:t>
      </w:r>
      <w:hyperlink w:history="0" r:id="rId598"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jc w:val="both"/>
      </w:pPr>
      <w:r>
        <w:rPr>
          <w:sz w:val="20"/>
        </w:rPr>
      </w:r>
    </w:p>
    <w:p>
      <w:pPr>
        <w:pStyle w:val="2"/>
        <w:outlineLvl w:val="1"/>
        <w:jc w:val="center"/>
      </w:pPr>
      <w:r>
        <w:rPr>
          <w:sz w:val="20"/>
        </w:rPr>
        <w:t xml:space="preserve">IV. Заключительные положения</w:t>
      </w:r>
    </w:p>
    <w:p>
      <w:pPr>
        <w:pStyle w:val="0"/>
        <w:jc w:val="both"/>
      </w:pPr>
      <w:r>
        <w:rPr>
          <w:sz w:val="20"/>
        </w:rPr>
      </w:r>
    </w:p>
    <w:p>
      <w:pPr>
        <w:pStyle w:val="0"/>
        <w:ind w:firstLine="540"/>
        <w:jc w:val="both"/>
      </w:pPr>
      <w:r>
        <w:rPr>
          <w:sz w:val="20"/>
        </w:rPr>
        <w:t xml:space="preserve">4.1. Реализация мер, указанных в </w:t>
      </w:r>
      <w:hyperlink w:history="0" w:anchor="P3964" w:tooltip="III. Перечень мер по недопущению формирования задолженности">
        <w:r>
          <w:rPr>
            <w:sz w:val="20"/>
            <w:color w:val="0000ff"/>
          </w:rPr>
          <w:t xml:space="preserve">разделе 3</w:t>
        </w:r>
      </w:hyperlink>
      <w:r>
        <w:rPr>
          <w:sz w:val="20"/>
        </w:rPr>
        <w:t xml:space="preserve"> Перечня, осуществляется в отношении организаций, находящихся под риском возникновения задолженности по выплате заработной платы, не реже 1 раза в месяц.</w:t>
      </w:r>
    </w:p>
    <w:p>
      <w:pPr>
        <w:pStyle w:val="0"/>
        <w:spacing w:before="200" w:line-rule="auto"/>
        <w:ind w:firstLine="540"/>
        <w:jc w:val="both"/>
      </w:pPr>
      <w:r>
        <w:rPr>
          <w:sz w:val="20"/>
        </w:rPr>
        <w:t xml:space="preserve">4.2. Информацию о принятых мерах по недопущению формирования задолженности по выплате заработной платы исполнительные органы автономного округа, органы местного самоуправления муниципальных образований автономного округа представляют в Департамент труда и занятости населения автономного округа по каждой организации, в которой возникла задолженность по выплате заработной платы, в течение 10 дней с даты принятия указанных мер.</w:t>
      </w:r>
    </w:p>
    <w:p>
      <w:pPr>
        <w:pStyle w:val="0"/>
        <w:jc w:val="both"/>
      </w:pPr>
      <w:r>
        <w:rPr>
          <w:sz w:val="20"/>
        </w:rPr>
        <w:t xml:space="preserve">(в ред. </w:t>
      </w:r>
      <w:hyperlink w:history="0" r:id="rId599" w:tooltip="Постановление Правительства ХМАО - Югры от 01.07.2022 N 29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01.07.2022 N 298-п)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19</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4008" w:name="P4008"/>
    <w:bookmarkEnd w:id="4008"/>
    <w:p>
      <w:pPr>
        <w:pStyle w:val="2"/>
        <w:jc w:val="center"/>
      </w:pPr>
      <w:r>
        <w:rPr>
          <w:sz w:val="20"/>
        </w:rPr>
        <w:t xml:space="preserve">ПЛАН</w:t>
      </w:r>
    </w:p>
    <w:p>
      <w:pPr>
        <w:pStyle w:val="2"/>
        <w:jc w:val="center"/>
      </w:pPr>
      <w:r>
        <w:rPr>
          <w:sz w:val="20"/>
        </w:rPr>
        <w:t xml:space="preserve">МЕРОПРИЯТИЙ ("ДОРОЖНАЯ КАРТА") ПО СОДЕЙСТВИЮ ТРУДОУСТРОЙСТВУ</w:t>
      </w:r>
    </w:p>
    <w:p>
      <w:pPr>
        <w:pStyle w:val="2"/>
        <w:jc w:val="center"/>
      </w:pPr>
      <w:r>
        <w:rPr>
          <w:sz w:val="20"/>
        </w:rPr>
        <w:t xml:space="preserve">И РАЗВИТИЮ КАРЬЕРЫ МОЛОДЕЖИ В ХАНТЫ-МАНСИЙСКОМ АВТОНОМНОМ</w:t>
      </w:r>
    </w:p>
    <w:p>
      <w:pPr>
        <w:pStyle w:val="2"/>
        <w:jc w:val="center"/>
      </w:pPr>
      <w:r>
        <w:rPr>
          <w:sz w:val="20"/>
        </w:rPr>
        <w:t xml:space="preserve">ОКРУГЕ - ЮГРЕ НА 2022 - 2030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0" w:tooltip="Постановление Правительства ХМАО - Югры от 13.05.2022 N 194-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color w:val="392c69"/>
              </w:rPr>
              <w:t xml:space="preserve"> Правительства ХМАО - Югры от 13.05.2022 N 194-п;</w:t>
            </w:r>
          </w:p>
          <w:p>
            <w:pPr>
              <w:pStyle w:val="0"/>
              <w:jc w:val="center"/>
            </w:pPr>
            <w:r>
              <w:rPr>
                <w:sz w:val="20"/>
                <w:color w:val="392c69"/>
              </w:rPr>
              <w:t xml:space="preserve">в ред. постановлений Правительства ХМАО - Югры от 14.10.2022 </w:t>
            </w:r>
            <w:hyperlink w:history="0" r:id="rId601"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510-п</w:t>
              </w:r>
            </w:hyperlink>
            <w:r>
              <w:rPr>
                <w:sz w:val="20"/>
                <w:color w:val="392c69"/>
              </w:rPr>
              <w:t xml:space="preserve">,</w:t>
            </w:r>
          </w:p>
          <w:p>
            <w:pPr>
              <w:pStyle w:val="0"/>
              <w:jc w:val="center"/>
            </w:pPr>
            <w:r>
              <w:rPr>
                <w:sz w:val="20"/>
                <w:color w:val="392c69"/>
              </w:rPr>
              <w:t xml:space="preserve">от 14.04.2023 </w:t>
            </w:r>
            <w:hyperlink w:history="0" r:id="rId602" w:tooltip="Постановление Правительства ХМАО - Югры от 14.04.2023 N 155-п &quot;О внесении изменения в приложение 19 к постановлению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155-п</w:t>
              </w:r>
            </w:hyperlink>
            <w:r>
              <w:rPr>
                <w:sz w:val="20"/>
                <w:color w:val="392c69"/>
              </w:rPr>
              <w:t xml:space="preserve">, от 20.10.2023 </w:t>
            </w:r>
            <w:hyperlink w:history="0" r:id="rId603"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4"/>
        <w:gridCol w:w="5102"/>
        <w:gridCol w:w="2299"/>
        <w:gridCol w:w="2211"/>
        <w:gridCol w:w="3288"/>
      </w:tblGrid>
      <w:tr>
        <w:tc>
          <w:tcPr>
            <w:tcW w:w="544" w:type="dxa"/>
          </w:tcPr>
          <w:p>
            <w:pPr>
              <w:pStyle w:val="0"/>
              <w:jc w:val="center"/>
            </w:pPr>
            <w:r>
              <w:rPr>
                <w:sz w:val="20"/>
              </w:rPr>
              <w:t xml:space="preserve">N</w:t>
            </w:r>
          </w:p>
        </w:tc>
        <w:tc>
          <w:tcPr>
            <w:tcW w:w="5102" w:type="dxa"/>
          </w:tcPr>
          <w:p>
            <w:pPr>
              <w:pStyle w:val="0"/>
              <w:jc w:val="center"/>
            </w:pPr>
            <w:r>
              <w:rPr>
                <w:sz w:val="20"/>
              </w:rPr>
              <w:t xml:space="preserve">Наименование мероприятия</w:t>
            </w:r>
          </w:p>
        </w:tc>
        <w:tc>
          <w:tcPr>
            <w:tcW w:w="2299" w:type="dxa"/>
          </w:tcPr>
          <w:p>
            <w:pPr>
              <w:pStyle w:val="0"/>
              <w:jc w:val="center"/>
            </w:pPr>
            <w:r>
              <w:rPr>
                <w:sz w:val="20"/>
              </w:rPr>
              <w:t xml:space="preserve">Ответственные исполнители</w:t>
            </w:r>
          </w:p>
        </w:tc>
        <w:tc>
          <w:tcPr>
            <w:tcW w:w="2211" w:type="dxa"/>
          </w:tcPr>
          <w:p>
            <w:pPr>
              <w:pStyle w:val="0"/>
              <w:jc w:val="center"/>
            </w:pPr>
            <w:r>
              <w:rPr>
                <w:sz w:val="20"/>
              </w:rPr>
              <w:t xml:space="preserve">Срок исполнения</w:t>
            </w:r>
          </w:p>
        </w:tc>
        <w:tc>
          <w:tcPr>
            <w:tcW w:w="3288" w:type="dxa"/>
          </w:tcPr>
          <w:p>
            <w:pPr>
              <w:pStyle w:val="0"/>
              <w:jc w:val="center"/>
            </w:pPr>
            <w:r>
              <w:rPr>
                <w:sz w:val="20"/>
              </w:rPr>
              <w:t xml:space="preserve">Ожидаемый результат</w:t>
            </w:r>
          </w:p>
        </w:tc>
      </w:tr>
      <w:tr>
        <w:tc>
          <w:tcPr>
            <w:gridSpan w:val="5"/>
            <w:tcW w:w="13444" w:type="dxa"/>
          </w:tcPr>
          <w:p>
            <w:pPr>
              <w:pStyle w:val="0"/>
            </w:pPr>
            <w:r>
              <w:rPr>
                <w:sz w:val="20"/>
              </w:rPr>
              <w:t xml:space="preserve">Задача 1. Формирование карьерных стратегий молодежи в соответствии с личностно-профессиональными наклонностями и потребностью рынка труда</w:t>
            </w:r>
          </w:p>
        </w:tc>
      </w:tr>
      <w:tr>
        <w:tblPrEx>
          <w:tblBorders>
            <w:insideH w:val="nil"/>
          </w:tblBorders>
        </w:tblPrEx>
        <w:tc>
          <w:tcPr>
            <w:tcW w:w="544" w:type="dxa"/>
            <w:tcBorders>
              <w:bottom w:val="nil"/>
            </w:tcBorders>
          </w:tcPr>
          <w:p>
            <w:pPr>
              <w:pStyle w:val="0"/>
            </w:pPr>
            <w:r>
              <w:rPr>
                <w:sz w:val="20"/>
              </w:rPr>
              <w:t xml:space="preserve">1.</w:t>
            </w:r>
          </w:p>
        </w:tc>
        <w:tc>
          <w:tcPr>
            <w:tcW w:w="5102" w:type="dxa"/>
            <w:tcBorders>
              <w:bottom w:val="nil"/>
            </w:tcBorders>
          </w:tcPr>
          <w:p>
            <w:pPr>
              <w:pStyle w:val="0"/>
            </w:pPr>
            <w:r>
              <w:rPr>
                <w:sz w:val="20"/>
              </w:rPr>
              <w:t xml:space="preserve">Реализация проекта по профессиональной ориентации несовершеннолетних граждан "Будущий профессионал" (диагностика, проведение профориентационных тренингов "Дизайнер профессий будущего" для обучающихся 9 - 11 классов общеобразовательных организаций, обучение педагогических работников)</w:t>
            </w:r>
          </w:p>
        </w:tc>
        <w:tc>
          <w:tcPr>
            <w:tcW w:w="2299" w:type="dxa"/>
            <w:tcBorders>
              <w:bottom w:val="nil"/>
            </w:tcBorders>
          </w:tcPr>
          <w:p>
            <w:pPr>
              <w:pStyle w:val="0"/>
            </w:pPr>
            <w:r>
              <w:rPr>
                <w:sz w:val="20"/>
              </w:rPr>
              <w:t xml:space="preserve">Дептруда и занятости Югры, Депобразования и науки Югры</w:t>
            </w:r>
          </w:p>
        </w:tc>
        <w:tc>
          <w:tcPr>
            <w:tcW w:w="2211" w:type="dxa"/>
            <w:tcBorders>
              <w:bottom w:val="nil"/>
            </w:tcBorders>
          </w:tcPr>
          <w:p>
            <w:pPr>
              <w:pStyle w:val="0"/>
            </w:pPr>
            <w:r>
              <w:rPr>
                <w:sz w:val="20"/>
              </w:rPr>
              <w:t xml:space="preserve">до 30 декабря 2023 года,</w:t>
            </w:r>
          </w:p>
          <w:p>
            <w:pPr>
              <w:pStyle w:val="0"/>
            </w:pPr>
            <w:r>
              <w:rPr>
                <w:sz w:val="20"/>
              </w:rPr>
              <w:t xml:space="preserve">до 30 декабря 2024 года</w:t>
            </w:r>
          </w:p>
        </w:tc>
        <w:tc>
          <w:tcPr>
            <w:tcW w:w="3288" w:type="dxa"/>
            <w:tcBorders>
              <w:bottom w:val="nil"/>
            </w:tcBorders>
          </w:tcPr>
          <w:p>
            <w:pPr>
              <w:pStyle w:val="0"/>
            </w:pPr>
            <w:r>
              <w:rPr>
                <w:sz w:val="20"/>
              </w:rPr>
              <w:t xml:space="preserve">численность участников мероприятия, в том числе обучающихся 9 - 11 классов и педагогических работников, - не менее 14000 человек</w:t>
            </w:r>
          </w:p>
        </w:tc>
      </w:tr>
      <w:tr>
        <w:tblPrEx>
          <w:tblBorders>
            <w:insideH w:val="nil"/>
          </w:tblBorders>
        </w:tblPrEx>
        <w:tc>
          <w:tcPr>
            <w:gridSpan w:val="5"/>
            <w:tcW w:w="13444" w:type="dxa"/>
            <w:tcBorders>
              <w:top w:val="nil"/>
            </w:tcBorders>
          </w:tcPr>
          <w:p>
            <w:pPr>
              <w:pStyle w:val="0"/>
              <w:jc w:val="both"/>
            </w:pPr>
            <w:r>
              <w:rPr>
                <w:sz w:val="20"/>
              </w:rPr>
              <w:t xml:space="preserve">(п. 1 в ред. </w:t>
            </w:r>
            <w:hyperlink w:history="0" r:id="rId604" w:tooltip="Постановление Правительства ХМАО - Югры от 14.04.2023 N 155-п &quot;О внесении изменения в приложение 19 к постановлению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14.04.2023 N 155-п)</w:t>
            </w:r>
          </w:p>
        </w:tc>
      </w:tr>
      <w:tr>
        <w:tc>
          <w:tcPr>
            <w:tcW w:w="544" w:type="dxa"/>
          </w:tcPr>
          <w:p>
            <w:pPr>
              <w:pStyle w:val="0"/>
            </w:pPr>
            <w:r>
              <w:rPr>
                <w:sz w:val="20"/>
              </w:rPr>
              <w:t xml:space="preserve">2.</w:t>
            </w:r>
          </w:p>
        </w:tc>
        <w:tc>
          <w:tcPr>
            <w:tcW w:w="5102" w:type="dxa"/>
          </w:tcPr>
          <w:p>
            <w:pPr>
              <w:pStyle w:val="0"/>
            </w:pPr>
            <w:r>
              <w:rPr>
                <w:sz w:val="20"/>
              </w:rPr>
              <w:t xml:space="preserve">Профессиональная ориентация граждан в возрасте 14 - 35 лет, обращающихся в органы службы занятости населения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299" w:type="dxa"/>
          </w:tcPr>
          <w:p>
            <w:pPr>
              <w:pStyle w:val="0"/>
            </w:pPr>
            <w:r>
              <w:rPr>
                <w:sz w:val="20"/>
              </w:rPr>
              <w:t xml:space="preserve">Дептруда и занятости Югры</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Pr>
          <w:p>
            <w:pPr>
              <w:pStyle w:val="0"/>
            </w:pPr>
            <w:r>
              <w:rPr>
                <w:sz w:val="20"/>
              </w:rPr>
              <w:t xml:space="preserve">ежегодный охват молодежи профориентационными мероприятиями - не менее 65% общего числа граждан в возрасте 14 - 35 лет, обратившихся в органы службы занятости в целях поиска подходящей работы</w:t>
            </w:r>
          </w:p>
        </w:tc>
      </w:tr>
      <w:tr>
        <w:tc>
          <w:tcPr>
            <w:tcW w:w="544" w:type="dxa"/>
          </w:tcPr>
          <w:p>
            <w:pPr>
              <w:pStyle w:val="0"/>
            </w:pPr>
            <w:r>
              <w:rPr>
                <w:sz w:val="20"/>
              </w:rPr>
              <w:t xml:space="preserve">3.</w:t>
            </w:r>
          </w:p>
        </w:tc>
        <w:tc>
          <w:tcPr>
            <w:tcW w:w="5102" w:type="dxa"/>
          </w:tcPr>
          <w:p>
            <w:pPr>
              <w:pStyle w:val="0"/>
            </w:pPr>
            <w:r>
              <w:rPr>
                <w:sz w:val="20"/>
              </w:rPr>
              <w:t xml:space="preserve">Проведение профориентационных мероприятий "Выбор за тобой!"</w:t>
            </w:r>
          </w:p>
        </w:tc>
        <w:tc>
          <w:tcPr>
            <w:tcW w:w="2299" w:type="dxa"/>
          </w:tcPr>
          <w:p>
            <w:pPr>
              <w:pStyle w:val="0"/>
            </w:pPr>
            <w:r>
              <w:rPr>
                <w:sz w:val="20"/>
              </w:rPr>
              <w:t xml:space="preserve">Дептруда и занятости Югры</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tc>
        <w:tc>
          <w:tcPr>
            <w:tcW w:w="3288" w:type="dxa"/>
          </w:tcPr>
          <w:p>
            <w:pPr>
              <w:pStyle w:val="0"/>
            </w:pPr>
            <w:r>
              <w:rPr>
                <w:sz w:val="20"/>
              </w:rPr>
              <w:t xml:space="preserve">расширение представлений молодежи о профессиях, формирование осознанного выбора профессии (специальности) для дальнейшего обучения, охват не менее 5000 человек</w:t>
            </w:r>
          </w:p>
        </w:tc>
      </w:tr>
      <w:tr>
        <w:tc>
          <w:tcPr>
            <w:tcW w:w="544" w:type="dxa"/>
          </w:tcPr>
          <w:p>
            <w:pPr>
              <w:pStyle w:val="0"/>
            </w:pPr>
            <w:r>
              <w:rPr>
                <w:sz w:val="20"/>
              </w:rPr>
              <w:t xml:space="preserve">4.</w:t>
            </w:r>
          </w:p>
        </w:tc>
        <w:tc>
          <w:tcPr>
            <w:tcW w:w="5102" w:type="dxa"/>
          </w:tcPr>
          <w:p>
            <w:pPr>
              <w:pStyle w:val="0"/>
            </w:pPr>
            <w:r>
              <w:rPr>
                <w:sz w:val="20"/>
              </w:rPr>
              <w:t xml:space="preserve">Проведение профессиональных проб для несовершеннолетних граждан, в том числе временно трудоустроенных в свободное от учебы время, во взаимодействии с образовательными организациями и социальными партнерами</w:t>
            </w:r>
          </w:p>
        </w:tc>
        <w:tc>
          <w:tcPr>
            <w:tcW w:w="2299" w:type="dxa"/>
          </w:tcPr>
          <w:p>
            <w:pPr>
              <w:pStyle w:val="0"/>
            </w:pPr>
            <w:r>
              <w:rPr>
                <w:sz w:val="20"/>
              </w:rPr>
              <w:t xml:space="preserve">Дептруда и занятости Югры,</w:t>
            </w:r>
          </w:p>
          <w:p>
            <w:pPr>
              <w:pStyle w:val="0"/>
            </w:pPr>
            <w:r>
              <w:rPr>
                <w:sz w:val="20"/>
              </w:rPr>
              <w:t xml:space="preserve">Депобразования и науки Югры</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Pr>
          <w:p>
            <w:pPr>
              <w:pStyle w:val="0"/>
            </w:pPr>
            <w:r>
              <w:rPr>
                <w:sz w:val="20"/>
              </w:rPr>
              <w:t xml:space="preserve">достижение к 2030 году доли несовершеннолетних граждан, прошедших профессиональные пробы, в том числе в период временного трудоустройства, - не менее 35% общего числа несовершеннолетних граждан в возрасте от 14 до 18 лет, в том числе участников мероприятий временного трудоустройства государственной программы Ханты-Мансийского автономного округа - Югры "Поддержка занятости населения" (далее - автономный округ)</w:t>
            </w:r>
          </w:p>
        </w:tc>
      </w:tr>
      <w:tr>
        <w:tblPrEx>
          <w:tblBorders>
            <w:insideH w:val="nil"/>
          </w:tblBorders>
        </w:tblPrEx>
        <w:tc>
          <w:tcPr>
            <w:tcW w:w="544" w:type="dxa"/>
            <w:tcBorders>
              <w:bottom w:val="nil"/>
            </w:tcBorders>
          </w:tcPr>
          <w:p>
            <w:pPr>
              <w:pStyle w:val="0"/>
            </w:pPr>
            <w:r>
              <w:rPr>
                <w:sz w:val="20"/>
              </w:rPr>
              <w:t xml:space="preserve">5.</w:t>
            </w:r>
          </w:p>
        </w:tc>
        <w:tc>
          <w:tcPr>
            <w:tcW w:w="5102" w:type="dxa"/>
            <w:tcBorders>
              <w:bottom w:val="nil"/>
            </w:tcBorders>
          </w:tcPr>
          <w:p>
            <w:pPr>
              <w:pStyle w:val="0"/>
            </w:pPr>
            <w:r>
              <w:rPr>
                <w:sz w:val="20"/>
              </w:rPr>
              <w:t xml:space="preserve">Организация профессионального обучения учащихся 10-х и 11-х классов общеобразовательных организаций, расположенных в автономном округе</w:t>
            </w:r>
          </w:p>
        </w:tc>
        <w:tc>
          <w:tcPr>
            <w:tcW w:w="2299" w:type="dxa"/>
            <w:tcBorders>
              <w:bottom w:val="nil"/>
            </w:tcBorders>
          </w:tcPr>
          <w:p>
            <w:pPr>
              <w:pStyle w:val="0"/>
            </w:pPr>
            <w:r>
              <w:rPr>
                <w:sz w:val="20"/>
              </w:rPr>
              <w:t xml:space="preserve">Дептруда и</w:t>
            </w:r>
          </w:p>
          <w:p>
            <w:pPr>
              <w:pStyle w:val="0"/>
            </w:pPr>
            <w:r>
              <w:rPr>
                <w:sz w:val="20"/>
              </w:rPr>
              <w:t xml:space="preserve">занятости Югры,</w:t>
            </w:r>
          </w:p>
          <w:p>
            <w:pPr>
              <w:pStyle w:val="0"/>
            </w:pPr>
            <w:r>
              <w:rPr>
                <w:sz w:val="20"/>
              </w:rPr>
              <w:t xml:space="preserve">Депобразования</w:t>
            </w:r>
          </w:p>
          <w:p>
            <w:pPr>
              <w:pStyle w:val="0"/>
            </w:pPr>
            <w:r>
              <w:rPr>
                <w:sz w:val="20"/>
              </w:rPr>
              <w:t xml:space="preserve">и науки Югры</w:t>
            </w:r>
          </w:p>
        </w:tc>
        <w:tc>
          <w:tcPr>
            <w:tcW w:w="2211" w:type="dxa"/>
            <w:tcBorders>
              <w:bottom w:val="nil"/>
            </w:tcBorders>
          </w:tcPr>
          <w:p>
            <w:pPr>
              <w:pStyle w:val="0"/>
            </w:pPr>
            <w:r>
              <w:rPr>
                <w:sz w:val="20"/>
              </w:rPr>
              <w:t xml:space="preserve">до 31 августа 2024 года</w:t>
            </w:r>
          </w:p>
        </w:tc>
        <w:tc>
          <w:tcPr>
            <w:tcW w:w="3288" w:type="dxa"/>
            <w:tcBorders>
              <w:bottom w:val="nil"/>
            </w:tcBorders>
          </w:tcPr>
          <w:p>
            <w:pPr>
              <w:pStyle w:val="0"/>
            </w:pPr>
            <w:r>
              <w:rPr>
                <w:sz w:val="20"/>
              </w:rPr>
              <w:t xml:space="preserve">организация профессионального обучения не менее 125 учащихся 10-х и 11-х классов общеобразовательных организаций, расположенных в автономном округе</w:t>
            </w:r>
          </w:p>
        </w:tc>
      </w:tr>
      <w:tr>
        <w:tblPrEx>
          <w:tblBorders>
            <w:insideH w:val="nil"/>
          </w:tblBorders>
        </w:tblPrEx>
        <w:tc>
          <w:tcPr>
            <w:gridSpan w:val="5"/>
            <w:tcW w:w="13444" w:type="dxa"/>
            <w:tcBorders>
              <w:top w:val="nil"/>
            </w:tcBorders>
          </w:tcPr>
          <w:p>
            <w:pPr>
              <w:pStyle w:val="0"/>
              <w:jc w:val="both"/>
            </w:pPr>
            <w:r>
              <w:rPr>
                <w:sz w:val="20"/>
              </w:rPr>
              <w:t xml:space="preserve">(п. 5 в ред. </w:t>
            </w:r>
            <w:hyperlink w:history="0" r:id="rId605"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tc>
      </w:tr>
      <w:tr>
        <w:tc>
          <w:tcPr>
            <w:tcW w:w="544" w:type="dxa"/>
          </w:tcPr>
          <w:p>
            <w:pPr>
              <w:pStyle w:val="0"/>
            </w:pPr>
            <w:r>
              <w:rPr>
                <w:sz w:val="20"/>
              </w:rPr>
              <w:t xml:space="preserve">6.</w:t>
            </w:r>
          </w:p>
        </w:tc>
        <w:tc>
          <w:tcPr>
            <w:tcW w:w="5102" w:type="dxa"/>
          </w:tcPr>
          <w:p>
            <w:pPr>
              <w:pStyle w:val="0"/>
            </w:pPr>
            <w:r>
              <w:rPr>
                <w:sz w:val="20"/>
              </w:rPr>
              <w:t xml:space="preserve">Организация временного трудоустройства несовершеннолетних граждан в возрасте от 14 до 18 лет в свободное от учебы время, в том числе находящихся в социально опасном положении, а также граждан в возрасте от 15 до 18 лет, не обучающихся и не работающих,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w:t>
            </w:r>
          </w:p>
        </w:tc>
        <w:tc>
          <w:tcPr>
            <w:tcW w:w="2299" w:type="dxa"/>
          </w:tcPr>
          <w:p>
            <w:pPr>
              <w:pStyle w:val="0"/>
            </w:pPr>
            <w:r>
              <w:rPr>
                <w:sz w:val="20"/>
              </w:rPr>
              <w:t xml:space="preserve">Дептруда и занятости Югры,</w:t>
            </w:r>
          </w:p>
          <w:p>
            <w:pPr>
              <w:pStyle w:val="0"/>
            </w:pPr>
            <w:r>
              <w:rPr>
                <w:sz w:val="20"/>
              </w:rPr>
              <w:t xml:space="preserve">Комиссия по делам несовершеннолетних и защите их прав при Правительстве автономного округа (по согласованию)</w:t>
            </w:r>
          </w:p>
        </w:tc>
        <w:tc>
          <w:tcPr>
            <w:tcW w:w="2211" w:type="dxa"/>
          </w:tcPr>
          <w:p>
            <w:pPr>
              <w:pStyle w:val="0"/>
            </w:pPr>
            <w:r>
              <w:rPr>
                <w:sz w:val="20"/>
              </w:rPr>
              <w:t xml:space="preserve">до 30 марта 2023 года,</w:t>
            </w:r>
          </w:p>
          <w:p>
            <w:pPr>
              <w:pStyle w:val="0"/>
            </w:pPr>
            <w:r>
              <w:rPr>
                <w:sz w:val="20"/>
              </w:rPr>
              <w:t xml:space="preserve">до 30 марта 2024 года,</w:t>
            </w:r>
          </w:p>
          <w:p>
            <w:pPr>
              <w:pStyle w:val="0"/>
            </w:pPr>
            <w:r>
              <w:rPr>
                <w:sz w:val="20"/>
              </w:rPr>
              <w:t xml:space="preserve">до 30 марта 2025 года,</w:t>
            </w:r>
          </w:p>
          <w:p>
            <w:pPr>
              <w:pStyle w:val="0"/>
            </w:pPr>
            <w:r>
              <w:rPr>
                <w:sz w:val="20"/>
              </w:rPr>
              <w:t xml:space="preserve">до 30 марта 2026 года,</w:t>
            </w:r>
          </w:p>
          <w:p>
            <w:pPr>
              <w:pStyle w:val="0"/>
            </w:pPr>
            <w:r>
              <w:rPr>
                <w:sz w:val="20"/>
              </w:rPr>
              <w:t xml:space="preserve">до 30 марта 2027 года,</w:t>
            </w:r>
          </w:p>
          <w:p>
            <w:pPr>
              <w:pStyle w:val="0"/>
            </w:pPr>
            <w:r>
              <w:rPr>
                <w:sz w:val="20"/>
              </w:rPr>
              <w:t xml:space="preserve">до 30 марта 2028 года,</w:t>
            </w:r>
          </w:p>
          <w:p>
            <w:pPr>
              <w:pStyle w:val="0"/>
            </w:pPr>
            <w:r>
              <w:rPr>
                <w:sz w:val="20"/>
              </w:rPr>
              <w:t xml:space="preserve">до 30 марта 2029 года,</w:t>
            </w:r>
          </w:p>
          <w:p>
            <w:pPr>
              <w:pStyle w:val="0"/>
            </w:pPr>
            <w:r>
              <w:rPr>
                <w:sz w:val="20"/>
              </w:rPr>
              <w:t xml:space="preserve">до 30 марта 2030 года</w:t>
            </w:r>
          </w:p>
        </w:tc>
        <w:tc>
          <w:tcPr>
            <w:tcW w:w="3288" w:type="dxa"/>
          </w:tcPr>
          <w:p>
            <w:pPr>
              <w:pStyle w:val="0"/>
            </w:pPr>
            <w:r>
              <w:rPr>
                <w:sz w:val="20"/>
              </w:rPr>
              <w:t xml:space="preserve">трудовая адаптация несовершеннолетних граждан в свободное от учебы время (охват - не менее 10% численности несовершеннолетних граждан в возрасте от 14 до 18 лет, проживающих в автономном округе), снижение численности незанятых несовершеннолетних граждан</w:t>
            </w:r>
          </w:p>
        </w:tc>
      </w:tr>
      <w:tr>
        <w:tc>
          <w:tcPr>
            <w:gridSpan w:val="5"/>
            <w:tcW w:w="13444" w:type="dxa"/>
          </w:tcPr>
          <w:p>
            <w:pPr>
              <w:pStyle w:val="0"/>
            </w:pPr>
            <w:r>
              <w:rPr>
                <w:sz w:val="20"/>
              </w:rPr>
              <w:t xml:space="preserve">Задача 2. Обеспечение соответствия получаемого образования профессионально-квалификационным требованиям работодателей и предпринимательской деятельности</w:t>
            </w:r>
          </w:p>
        </w:tc>
      </w:tr>
      <w:tr>
        <w:tc>
          <w:tcPr>
            <w:tcW w:w="544" w:type="dxa"/>
          </w:tcPr>
          <w:p>
            <w:pPr>
              <w:pStyle w:val="0"/>
            </w:pPr>
            <w:r>
              <w:rPr>
                <w:sz w:val="20"/>
              </w:rPr>
              <w:t xml:space="preserve">7.</w:t>
            </w:r>
          </w:p>
        </w:tc>
        <w:tc>
          <w:tcPr>
            <w:tcW w:w="5102" w:type="dxa"/>
          </w:tcPr>
          <w:p>
            <w:pPr>
              <w:pStyle w:val="0"/>
            </w:pPr>
            <w:r>
              <w:rPr>
                <w:sz w:val="20"/>
              </w:rPr>
              <w:t xml:space="preserve">Апробация на Единой цифровой платформе в сфере занятости и трудовых отношений "Работа в России" (далее - ЕЦП) подсистемы по осуществлению в электронном виде процедур организации и прохождения производственной практики с участием региональных профессиональных образовательных организаций, образовательных организаций высшего образования</w:t>
            </w:r>
          </w:p>
        </w:tc>
        <w:tc>
          <w:tcPr>
            <w:tcW w:w="2299" w:type="dxa"/>
          </w:tcPr>
          <w:p>
            <w:pPr>
              <w:pStyle w:val="0"/>
            </w:pPr>
            <w:r>
              <w:rPr>
                <w:sz w:val="20"/>
              </w:rPr>
              <w:t xml:space="preserve">Дептруда и занятости Югры,</w:t>
            </w:r>
          </w:p>
          <w:p>
            <w:pPr>
              <w:pStyle w:val="0"/>
            </w:pPr>
            <w:r>
              <w:rPr>
                <w:sz w:val="20"/>
              </w:rPr>
              <w:t xml:space="preserve">Депобразования и науки Югры</w:t>
            </w:r>
          </w:p>
        </w:tc>
        <w:tc>
          <w:tcPr>
            <w:tcW w:w="2211" w:type="dxa"/>
          </w:tcPr>
          <w:p>
            <w:pPr>
              <w:pStyle w:val="0"/>
            </w:pPr>
            <w:r>
              <w:rPr>
                <w:sz w:val="20"/>
              </w:rPr>
              <w:t xml:space="preserve">до 30 декабря 2023 года,</w:t>
            </w:r>
          </w:p>
          <w:p>
            <w:pPr>
              <w:pStyle w:val="0"/>
            </w:pPr>
            <w:r>
              <w:rPr>
                <w:sz w:val="20"/>
              </w:rPr>
              <w:t xml:space="preserve">до 30 декабря 2024 года</w:t>
            </w:r>
          </w:p>
        </w:tc>
        <w:tc>
          <w:tcPr>
            <w:tcW w:w="3288" w:type="dxa"/>
          </w:tcPr>
          <w:p>
            <w:pPr>
              <w:pStyle w:val="0"/>
            </w:pPr>
            <w:r>
              <w:rPr>
                <w:sz w:val="20"/>
              </w:rPr>
              <w:t xml:space="preserve">участие автономного округа в апробации подсистемы на ЕЦП, организация к 2024 году 100% производственных практик в государственных образовательных организациях с использованием ЕЦП</w:t>
            </w:r>
          </w:p>
        </w:tc>
      </w:tr>
      <w:tr>
        <w:tc>
          <w:tcPr>
            <w:tcW w:w="544" w:type="dxa"/>
          </w:tcPr>
          <w:p>
            <w:pPr>
              <w:pStyle w:val="0"/>
            </w:pPr>
            <w:r>
              <w:rPr>
                <w:sz w:val="20"/>
              </w:rPr>
              <w:t xml:space="preserve">8.</w:t>
            </w:r>
          </w:p>
        </w:tc>
        <w:tc>
          <w:tcPr>
            <w:tcW w:w="5102" w:type="dxa"/>
          </w:tcPr>
          <w:p>
            <w:pPr>
              <w:pStyle w:val="0"/>
            </w:pPr>
            <w:r>
              <w:rPr>
                <w:sz w:val="20"/>
              </w:rPr>
              <w:t xml:space="preserve">Проведение мероприятий по развитию предпринимательской инициативы молодежи:</w:t>
            </w:r>
          </w:p>
        </w:tc>
        <w:tc>
          <w:tcPr>
            <w:tcW w:w="2299" w:type="dxa"/>
          </w:tcPr>
          <w:p>
            <w:pPr>
              <w:pStyle w:val="0"/>
            </w:pPr>
            <w:r>
              <w:rPr>
                <w:sz w:val="20"/>
              </w:rPr>
            </w:r>
          </w:p>
        </w:tc>
        <w:tc>
          <w:tcPr>
            <w:tcW w:w="2211" w:type="dxa"/>
          </w:tcPr>
          <w:p>
            <w:pPr>
              <w:pStyle w:val="0"/>
            </w:pPr>
            <w:r>
              <w:rPr>
                <w:sz w:val="20"/>
              </w:rPr>
            </w:r>
          </w:p>
        </w:tc>
        <w:tc>
          <w:tcPr>
            <w:tcW w:w="3288" w:type="dxa"/>
          </w:tcPr>
          <w:p>
            <w:pPr>
              <w:pStyle w:val="0"/>
            </w:pPr>
            <w:r>
              <w:rPr>
                <w:sz w:val="20"/>
              </w:rPr>
            </w:r>
          </w:p>
        </w:tc>
      </w:tr>
      <w:tr>
        <w:tc>
          <w:tcPr>
            <w:tcW w:w="544" w:type="dxa"/>
          </w:tcPr>
          <w:p>
            <w:pPr>
              <w:pStyle w:val="0"/>
            </w:pPr>
            <w:r>
              <w:rPr>
                <w:sz w:val="20"/>
              </w:rPr>
              <w:t xml:space="preserve">8.1.</w:t>
            </w:r>
          </w:p>
        </w:tc>
        <w:tc>
          <w:tcPr>
            <w:tcW w:w="5102" w:type="dxa"/>
          </w:tcPr>
          <w:p>
            <w:pPr>
              <w:pStyle w:val="0"/>
            </w:pPr>
            <w:r>
              <w:rPr>
                <w:sz w:val="20"/>
              </w:rPr>
              <w:t xml:space="preserve">Содействие началу осуществления предпринимательской деятельности безработных граждан из числа молодежи (включая выпускников образовательных организаций) с предоставлением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2299" w:type="dxa"/>
          </w:tcPr>
          <w:p>
            <w:pPr>
              <w:pStyle w:val="0"/>
            </w:pPr>
            <w:r>
              <w:rPr>
                <w:sz w:val="20"/>
              </w:rPr>
              <w:t xml:space="preserve">Дептруда и занятости Югры</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Pr>
          <w:p>
            <w:pPr>
              <w:pStyle w:val="0"/>
            </w:pPr>
            <w:r>
              <w:rPr>
                <w:sz w:val="20"/>
              </w:rPr>
              <w:t xml:space="preserve">содействие ежегодной занятости не менее 4% безработных граждан из числа молодежи (включая выпускников образовательных организаций) в общей численности зарегистрированных в отчетном периоде безработных граждан в возрасте от 18 до 35 лет включительно</w:t>
            </w:r>
          </w:p>
        </w:tc>
      </w:tr>
      <w:tr>
        <w:tc>
          <w:tcPr>
            <w:tcW w:w="544" w:type="dxa"/>
          </w:tcPr>
          <w:p>
            <w:pPr>
              <w:pStyle w:val="0"/>
            </w:pPr>
            <w:r>
              <w:rPr>
                <w:sz w:val="20"/>
              </w:rPr>
              <w:t xml:space="preserve">8.2.</w:t>
            </w:r>
          </w:p>
        </w:tc>
        <w:tc>
          <w:tcPr>
            <w:tcW w:w="5102" w:type="dxa"/>
          </w:tcPr>
          <w:p>
            <w:pPr>
              <w:pStyle w:val="0"/>
            </w:pPr>
            <w:r>
              <w:rPr>
                <w:sz w:val="20"/>
              </w:rPr>
              <w:t xml:space="preserve">Проведение обучающих мероприятий по вопросам приобретения предпринимательских компетенций, знаний и умений, необходимых для ведения предпринимательской деятельности, осуществления деятельности в форме самозанятости</w:t>
            </w:r>
          </w:p>
        </w:tc>
        <w:tc>
          <w:tcPr>
            <w:tcW w:w="2299" w:type="dxa"/>
          </w:tcPr>
          <w:p>
            <w:pPr>
              <w:pStyle w:val="0"/>
            </w:pPr>
            <w:r>
              <w:rPr>
                <w:sz w:val="20"/>
              </w:rPr>
              <w:t xml:space="preserve">Депобразования и науки Югры, Депэкономики Югры (по согласованию)</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Pr>
          <w:p>
            <w:pPr>
              <w:pStyle w:val="0"/>
            </w:pPr>
            <w:r>
              <w:rPr>
                <w:sz w:val="20"/>
              </w:rPr>
              <w:t xml:space="preserve">содействие занятости к 2030 году не менее 5% выпускников, завершивших обучение по программам среднего профессионального образования, в качестве индивидуального предпринимателя или налогоплательщика налога на профессиональный доход</w:t>
            </w:r>
          </w:p>
        </w:tc>
      </w:tr>
      <w:tr>
        <w:tblPrEx>
          <w:tblBorders>
            <w:insideH w:val="nil"/>
          </w:tblBorders>
        </w:tblPrEx>
        <w:tc>
          <w:tcPr>
            <w:tcW w:w="544" w:type="dxa"/>
            <w:tcBorders>
              <w:bottom w:val="nil"/>
            </w:tcBorders>
          </w:tcPr>
          <w:p>
            <w:pPr>
              <w:pStyle w:val="0"/>
            </w:pPr>
            <w:r>
              <w:rPr>
                <w:sz w:val="20"/>
              </w:rPr>
              <w:t xml:space="preserve">9.</w:t>
            </w:r>
          </w:p>
        </w:tc>
        <w:tc>
          <w:tcPr>
            <w:tcW w:w="5102" w:type="dxa"/>
            <w:tcBorders>
              <w:bottom w:val="nil"/>
            </w:tcBorders>
          </w:tcPr>
          <w:p>
            <w:pPr>
              <w:pStyle w:val="0"/>
            </w:pPr>
            <w:r>
              <w:rPr>
                <w:sz w:val="20"/>
              </w:rPr>
              <w:t xml:space="preserve">Организация профессионального обучения и дополнительного профессионального образования безработных граждан в возрасте от 16 до 35 лет</w:t>
            </w:r>
          </w:p>
        </w:tc>
        <w:tc>
          <w:tcPr>
            <w:tcW w:w="2299" w:type="dxa"/>
            <w:tcBorders>
              <w:bottom w:val="nil"/>
            </w:tcBorders>
          </w:tcPr>
          <w:p>
            <w:pPr>
              <w:pStyle w:val="0"/>
            </w:pPr>
            <w:r>
              <w:rPr>
                <w:sz w:val="20"/>
              </w:rPr>
              <w:t xml:space="preserve">Дептруда и занятости Югры</w:t>
            </w:r>
          </w:p>
        </w:tc>
        <w:tc>
          <w:tcPr>
            <w:tcW w:w="2211" w:type="dxa"/>
            <w:tcBorders>
              <w:bottom w:val="nil"/>
            </w:tcBorders>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Borders>
              <w:bottom w:val="nil"/>
            </w:tcBorders>
          </w:tcPr>
          <w:p>
            <w:pPr>
              <w:pStyle w:val="0"/>
            </w:pPr>
            <w:r>
              <w:rPr>
                <w:sz w:val="20"/>
              </w:rPr>
              <w:t xml:space="preserve">организовано профессиональное обучение и дополнительное</w:t>
            </w:r>
          </w:p>
          <w:p>
            <w:pPr>
              <w:pStyle w:val="0"/>
            </w:pPr>
            <w:r>
              <w:rPr>
                <w:sz w:val="20"/>
              </w:rPr>
              <w:t xml:space="preserve">профессиональное образование не менее 500 безработных граждан в возрасте от 16 до 35 лет</w:t>
            </w:r>
          </w:p>
        </w:tc>
      </w:tr>
      <w:tr>
        <w:tblPrEx>
          <w:tblBorders>
            <w:insideH w:val="nil"/>
          </w:tblBorders>
        </w:tblPrEx>
        <w:tc>
          <w:tcPr>
            <w:gridSpan w:val="5"/>
            <w:tcW w:w="13444" w:type="dxa"/>
            <w:tcBorders>
              <w:top w:val="nil"/>
            </w:tcBorders>
          </w:tcPr>
          <w:p>
            <w:pPr>
              <w:pStyle w:val="0"/>
              <w:jc w:val="both"/>
            </w:pPr>
            <w:r>
              <w:rPr>
                <w:sz w:val="20"/>
              </w:rPr>
              <w:t xml:space="preserve">(в ред. </w:t>
            </w:r>
            <w:hyperlink w:history="0" r:id="rId606" w:tooltip="Постановление Правительства ХМАО - Югры от 14.10.2022 N 510-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14.10.2022 N 510-п)</w:t>
            </w:r>
          </w:p>
        </w:tc>
      </w:tr>
      <w:tr>
        <w:tc>
          <w:tcPr>
            <w:tcW w:w="544" w:type="dxa"/>
          </w:tcPr>
          <w:p>
            <w:pPr>
              <w:pStyle w:val="0"/>
            </w:pPr>
            <w:r>
              <w:rPr>
                <w:sz w:val="20"/>
              </w:rPr>
              <w:t xml:space="preserve">10.</w:t>
            </w:r>
          </w:p>
        </w:tc>
        <w:tc>
          <w:tcPr>
            <w:tcW w:w="5102" w:type="dxa"/>
          </w:tcPr>
          <w:p>
            <w:pPr>
              <w:pStyle w:val="0"/>
            </w:pPr>
            <w:r>
              <w:rPr>
                <w:sz w:val="20"/>
              </w:rPr>
              <w:t xml:space="preserve">Субсидирование работодателей в целях организации трудоустройства молодежи, включая лиц с инвалидностью, в том числе стажировки выпускников в возрасте от 18 до 25 лет, имеющих среднее профессиональное образование или высшее образование</w:t>
            </w:r>
          </w:p>
        </w:tc>
        <w:tc>
          <w:tcPr>
            <w:tcW w:w="2299" w:type="dxa"/>
          </w:tcPr>
          <w:p>
            <w:pPr>
              <w:pStyle w:val="0"/>
            </w:pPr>
            <w:r>
              <w:rPr>
                <w:sz w:val="20"/>
              </w:rPr>
              <w:t xml:space="preserve">Дептруда и занятости Югры</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Pr>
          <w:p>
            <w:pPr>
              <w:pStyle w:val="0"/>
            </w:pPr>
            <w:r>
              <w:rPr>
                <w:sz w:val="20"/>
              </w:rPr>
              <w:t xml:space="preserve">ежегодное трудоустройство не менее 300 человек, в том числе в рамках стажировки выпускников - не менее 2% общей численности зарегистрированных в отчетном периоде безработных граждан из числа выпускников в возрасте от 18 до 25 лет, имеющих среднее профессиональное или высшее образование</w:t>
            </w:r>
          </w:p>
        </w:tc>
      </w:tr>
      <w:tr>
        <w:tc>
          <w:tcPr>
            <w:tcW w:w="544" w:type="dxa"/>
          </w:tcPr>
          <w:p>
            <w:pPr>
              <w:pStyle w:val="0"/>
            </w:pPr>
            <w:r>
              <w:rPr>
                <w:sz w:val="20"/>
              </w:rPr>
              <w:t xml:space="preserve">11.</w:t>
            </w:r>
          </w:p>
        </w:tc>
        <w:tc>
          <w:tcPr>
            <w:tcW w:w="5102" w:type="dxa"/>
          </w:tcPr>
          <w:p>
            <w:pPr>
              <w:pStyle w:val="0"/>
            </w:pPr>
            <w:r>
              <w:rPr>
                <w:sz w:val="20"/>
              </w:rPr>
              <w:t xml:space="preserve">Создание базового центра карьеры в автономном округе</w:t>
            </w:r>
          </w:p>
        </w:tc>
        <w:tc>
          <w:tcPr>
            <w:tcW w:w="2299" w:type="dxa"/>
          </w:tcPr>
          <w:p>
            <w:pPr>
              <w:pStyle w:val="0"/>
            </w:pPr>
            <w:r>
              <w:rPr>
                <w:sz w:val="20"/>
              </w:rPr>
              <w:t xml:space="preserve">Депобразования и науки Югры</w:t>
            </w:r>
          </w:p>
        </w:tc>
        <w:tc>
          <w:tcPr>
            <w:tcW w:w="2211" w:type="dxa"/>
          </w:tcPr>
          <w:p>
            <w:pPr>
              <w:pStyle w:val="0"/>
            </w:pPr>
            <w:r>
              <w:rPr>
                <w:sz w:val="20"/>
              </w:rPr>
              <w:t xml:space="preserve">до 30 марта 2024 года</w:t>
            </w:r>
          </w:p>
        </w:tc>
        <w:tc>
          <w:tcPr>
            <w:tcW w:w="3288" w:type="dxa"/>
          </w:tcPr>
          <w:p>
            <w:pPr>
              <w:pStyle w:val="0"/>
            </w:pPr>
            <w:r>
              <w:rPr>
                <w:sz w:val="20"/>
              </w:rPr>
              <w:t xml:space="preserve">создание условий для содействия трудоустройству выпускников в профессиональных образовательных организациях и образовательных организациях высшего образования (создание базового центра карьеры, утверждение положения об организации и осуществлении деятельности базового Центра карьеры и центров содействия трудоустройству выпускников)</w:t>
            </w:r>
          </w:p>
        </w:tc>
      </w:tr>
      <w:tr>
        <w:tc>
          <w:tcPr>
            <w:tcW w:w="544" w:type="dxa"/>
          </w:tcPr>
          <w:p>
            <w:pPr>
              <w:pStyle w:val="0"/>
            </w:pPr>
            <w:r>
              <w:rPr>
                <w:sz w:val="20"/>
              </w:rPr>
              <w:t xml:space="preserve">12.</w:t>
            </w:r>
          </w:p>
        </w:tc>
        <w:tc>
          <w:tcPr>
            <w:tcW w:w="5102" w:type="dxa"/>
          </w:tcPr>
          <w:p>
            <w:pPr>
              <w:pStyle w:val="0"/>
            </w:pPr>
            <w:r>
              <w:rPr>
                <w:sz w:val="20"/>
              </w:rPr>
              <w:t xml:space="preserve">Апробация комплексного подхода по карьерному сопровождению молодежи, включая развитие предпринимательских инициатив</w:t>
            </w:r>
          </w:p>
        </w:tc>
        <w:tc>
          <w:tcPr>
            <w:tcW w:w="2299" w:type="dxa"/>
          </w:tcPr>
          <w:p>
            <w:pPr>
              <w:pStyle w:val="0"/>
            </w:pPr>
            <w:r>
              <w:rPr>
                <w:sz w:val="20"/>
              </w:rPr>
              <w:t xml:space="preserve">Дептруда и занятости Югры,</w:t>
            </w:r>
          </w:p>
          <w:p>
            <w:pPr>
              <w:pStyle w:val="0"/>
            </w:pPr>
            <w:r>
              <w:rPr>
                <w:sz w:val="20"/>
              </w:rPr>
              <w:t xml:space="preserve">Депобразования и науки Югры,</w:t>
            </w:r>
          </w:p>
          <w:p>
            <w:pPr>
              <w:pStyle w:val="0"/>
            </w:pPr>
            <w:r>
              <w:rPr>
                <w:sz w:val="20"/>
              </w:rPr>
              <w:t xml:space="preserve">Депэкономики Югры (по согласованию)</w:t>
            </w:r>
          </w:p>
        </w:tc>
        <w:tc>
          <w:tcPr>
            <w:tcW w:w="2211" w:type="dxa"/>
          </w:tcPr>
          <w:p>
            <w:pPr>
              <w:pStyle w:val="0"/>
            </w:pPr>
            <w:r>
              <w:rPr>
                <w:sz w:val="20"/>
              </w:rPr>
              <w:t xml:space="preserve">до 1 февраля 2023 года,</w:t>
            </w:r>
          </w:p>
          <w:p>
            <w:pPr>
              <w:pStyle w:val="0"/>
            </w:pPr>
            <w:r>
              <w:rPr>
                <w:sz w:val="20"/>
              </w:rPr>
              <w:t xml:space="preserve">до 1 февраля 2024 года</w:t>
            </w:r>
          </w:p>
        </w:tc>
        <w:tc>
          <w:tcPr>
            <w:tcW w:w="3288" w:type="dxa"/>
          </w:tcPr>
          <w:p>
            <w:pPr>
              <w:pStyle w:val="0"/>
            </w:pPr>
            <w:r>
              <w:rPr>
                <w:sz w:val="20"/>
              </w:rPr>
              <w:t xml:space="preserve">участие автономного округа в апробации комплексного подхода по карьерному сопровождению молодежи, включая развитие предпринимательских инициатив</w:t>
            </w:r>
          </w:p>
        </w:tc>
      </w:tr>
      <w:tr>
        <w:tc>
          <w:tcPr>
            <w:tcW w:w="544" w:type="dxa"/>
          </w:tcPr>
          <w:p>
            <w:pPr>
              <w:pStyle w:val="0"/>
            </w:pPr>
            <w:r>
              <w:rPr>
                <w:sz w:val="20"/>
              </w:rPr>
              <w:t xml:space="preserve">13.</w:t>
            </w:r>
          </w:p>
        </w:tc>
        <w:tc>
          <w:tcPr>
            <w:tcW w:w="5102" w:type="dxa"/>
          </w:tcPr>
          <w:p>
            <w:pPr>
              <w:pStyle w:val="0"/>
            </w:pPr>
            <w:r>
              <w:rPr>
                <w:sz w:val="20"/>
              </w:rPr>
              <w:t xml:space="preserve">Адресное сопровождение трудоустройства (занятости) отдельных категорий молодежи в соответствии с жизненной ситуацией</w:t>
            </w:r>
          </w:p>
        </w:tc>
        <w:tc>
          <w:tcPr>
            <w:tcW w:w="2299" w:type="dxa"/>
          </w:tcPr>
          <w:p>
            <w:pPr>
              <w:pStyle w:val="0"/>
            </w:pPr>
            <w:r>
              <w:rPr>
                <w:sz w:val="20"/>
              </w:rPr>
              <w:t xml:space="preserve">Дептруда и занятости Югры</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Pr>
          <w:p>
            <w:pPr>
              <w:pStyle w:val="0"/>
            </w:pPr>
            <w:r>
              <w:rPr>
                <w:sz w:val="20"/>
              </w:rPr>
              <w:t xml:space="preserve">сокращение к 2030 году в 2 раза доли лиц в возрасте до 30 лет, состоящих на регистрационном учете в органах службы занятости в качестве безработных</w:t>
            </w:r>
          </w:p>
        </w:tc>
      </w:tr>
      <w:tr>
        <w:tc>
          <w:tcPr>
            <w:tcW w:w="544" w:type="dxa"/>
          </w:tcPr>
          <w:p>
            <w:pPr>
              <w:pStyle w:val="0"/>
            </w:pPr>
            <w:r>
              <w:rPr>
                <w:sz w:val="20"/>
              </w:rPr>
              <w:t xml:space="preserve">14.</w:t>
            </w:r>
          </w:p>
        </w:tc>
        <w:tc>
          <w:tcPr>
            <w:tcW w:w="5102" w:type="dxa"/>
          </w:tcPr>
          <w:p>
            <w:pPr>
              <w:pStyle w:val="0"/>
            </w:pPr>
            <w:r>
              <w:rPr>
                <w:sz w:val="20"/>
              </w:rPr>
              <w:t xml:space="preserve">Развитие трудовой мобильности молодежи:</w:t>
            </w:r>
          </w:p>
          <w:p>
            <w:pPr>
              <w:pStyle w:val="0"/>
            </w:pPr>
            <w:r>
              <w:rPr>
                <w:sz w:val="20"/>
              </w:rPr>
              <w:t xml:space="preserve">а) информирование выпускников о трудоизбыточных и трудодефицитных муниципальных образованиях автономного округа, а также о перечне профессий, наиболее востребованных в отдельных муниципальных образованиях автономного округа;</w:t>
            </w:r>
          </w:p>
          <w:p>
            <w:pPr>
              <w:pStyle w:val="0"/>
            </w:pPr>
            <w:r>
              <w:rPr>
                <w:sz w:val="20"/>
              </w:rPr>
              <w:t xml:space="preserve">б) информирование выпускников о порядке предоставления финансовой поддержки, предоставляемой безработным гражданам при переезде (переселении) в другую местность с целью трудоустройства;</w:t>
            </w:r>
          </w:p>
          <w:p>
            <w:pPr>
              <w:pStyle w:val="0"/>
            </w:pPr>
            <w:r>
              <w:rPr>
                <w:sz w:val="20"/>
              </w:rPr>
              <w:t xml:space="preserve">в) оказание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299" w:type="dxa"/>
          </w:tcPr>
          <w:p>
            <w:pPr>
              <w:pStyle w:val="0"/>
            </w:pPr>
            <w:r>
              <w:rPr>
                <w:sz w:val="20"/>
              </w:rPr>
              <w:t xml:space="preserve">Дептруда и занятости Югры</w:t>
            </w:r>
          </w:p>
        </w:tc>
        <w:tc>
          <w:tcPr>
            <w:tcW w:w="2211" w:type="dxa"/>
          </w:tcPr>
          <w:p>
            <w:pPr>
              <w:pStyle w:val="0"/>
            </w:pPr>
            <w:r>
              <w:rPr>
                <w:sz w:val="20"/>
              </w:rPr>
              <w:t xml:space="preserve">до 1 февраля 2023 года,</w:t>
            </w:r>
          </w:p>
          <w:p>
            <w:pPr>
              <w:pStyle w:val="0"/>
            </w:pPr>
            <w:r>
              <w:rPr>
                <w:sz w:val="20"/>
              </w:rPr>
              <w:t xml:space="preserve">до 1 февраля 2024 года,</w:t>
            </w:r>
          </w:p>
          <w:p>
            <w:pPr>
              <w:pStyle w:val="0"/>
            </w:pPr>
            <w:r>
              <w:rPr>
                <w:sz w:val="20"/>
              </w:rPr>
              <w:t xml:space="preserve">до 1 февраля 2025 года,</w:t>
            </w:r>
          </w:p>
          <w:p>
            <w:pPr>
              <w:pStyle w:val="0"/>
            </w:pPr>
            <w:r>
              <w:rPr>
                <w:sz w:val="20"/>
              </w:rPr>
              <w:t xml:space="preserve">до 1 февраля 2026 года,</w:t>
            </w:r>
          </w:p>
          <w:p>
            <w:pPr>
              <w:pStyle w:val="0"/>
            </w:pPr>
            <w:r>
              <w:rPr>
                <w:sz w:val="20"/>
              </w:rPr>
              <w:t xml:space="preserve">до 1 февраля 2027 года,</w:t>
            </w:r>
          </w:p>
          <w:p>
            <w:pPr>
              <w:pStyle w:val="0"/>
            </w:pPr>
            <w:r>
              <w:rPr>
                <w:sz w:val="20"/>
              </w:rPr>
              <w:t xml:space="preserve">до 1 февраля 2028 года,</w:t>
            </w:r>
          </w:p>
          <w:p>
            <w:pPr>
              <w:pStyle w:val="0"/>
            </w:pPr>
            <w:r>
              <w:rPr>
                <w:sz w:val="20"/>
              </w:rPr>
              <w:t xml:space="preserve">до 1 февраля 2029 года,</w:t>
            </w:r>
          </w:p>
          <w:p>
            <w:pPr>
              <w:pStyle w:val="0"/>
            </w:pPr>
            <w:r>
              <w:rPr>
                <w:sz w:val="20"/>
              </w:rPr>
              <w:t xml:space="preserve">до 1 февраля 2030 года</w:t>
            </w:r>
          </w:p>
        </w:tc>
        <w:tc>
          <w:tcPr>
            <w:tcW w:w="3288" w:type="dxa"/>
          </w:tcPr>
          <w:p>
            <w:pPr>
              <w:pStyle w:val="0"/>
            </w:pPr>
            <w:r>
              <w:rPr>
                <w:sz w:val="20"/>
              </w:rPr>
              <w:t xml:space="preserve">Расширение возможностей трудоустройства молодежи посредством содействия переезду из трудоизбыточных в трудодефицитные муниципальные образования автономного округа, субъекты Российской Федерации (с учетом ситуации на рынке труда автономного округа)</w:t>
            </w:r>
          </w:p>
        </w:tc>
      </w:tr>
      <w:tr>
        <w:tc>
          <w:tcPr>
            <w:tcW w:w="544" w:type="dxa"/>
          </w:tcPr>
          <w:p>
            <w:pPr>
              <w:pStyle w:val="0"/>
            </w:pPr>
            <w:r>
              <w:rPr>
                <w:sz w:val="20"/>
              </w:rPr>
              <w:t xml:space="preserve">15.</w:t>
            </w:r>
          </w:p>
        </w:tc>
        <w:tc>
          <w:tcPr>
            <w:tcW w:w="5102" w:type="dxa"/>
          </w:tcPr>
          <w:p>
            <w:pPr>
              <w:pStyle w:val="0"/>
            </w:pPr>
            <w:r>
              <w:rPr>
                <w:sz w:val="20"/>
              </w:rPr>
              <w:t xml:space="preserve">Организация и проведение региональной конференции по содействию занятости молодежи</w:t>
            </w:r>
          </w:p>
        </w:tc>
        <w:tc>
          <w:tcPr>
            <w:tcW w:w="2299" w:type="dxa"/>
          </w:tcPr>
          <w:p>
            <w:pPr>
              <w:pStyle w:val="0"/>
            </w:pPr>
            <w:r>
              <w:rPr>
                <w:sz w:val="20"/>
              </w:rPr>
              <w:t xml:space="preserve">Дептруда и занятости Югры, Депобразования и науки Югры, Объединение работодателей Ханты-Мансийского автономного округа - Югры (по согласованию)</w:t>
            </w:r>
          </w:p>
        </w:tc>
        <w:tc>
          <w:tcPr>
            <w:tcW w:w="2211" w:type="dxa"/>
          </w:tcPr>
          <w:p>
            <w:pPr>
              <w:pStyle w:val="0"/>
            </w:pPr>
            <w:r>
              <w:rPr>
                <w:sz w:val="20"/>
              </w:rPr>
              <w:t xml:space="preserve">до 30 декабря 2022 года,</w:t>
            </w:r>
          </w:p>
          <w:p>
            <w:pPr>
              <w:pStyle w:val="0"/>
            </w:pPr>
            <w:r>
              <w:rPr>
                <w:sz w:val="20"/>
              </w:rPr>
              <w:t xml:space="preserve">до 30 декабря 2023 года,</w:t>
            </w:r>
          </w:p>
          <w:p>
            <w:pPr>
              <w:pStyle w:val="0"/>
            </w:pPr>
            <w:r>
              <w:rPr>
                <w:sz w:val="20"/>
              </w:rPr>
              <w:t xml:space="preserve">до 30 декабря 2024 года,</w:t>
            </w:r>
          </w:p>
          <w:p>
            <w:pPr>
              <w:pStyle w:val="0"/>
            </w:pPr>
            <w:r>
              <w:rPr>
                <w:sz w:val="20"/>
              </w:rPr>
              <w:t xml:space="preserve">до 30 декабря 2025 года,</w:t>
            </w:r>
          </w:p>
          <w:p>
            <w:pPr>
              <w:pStyle w:val="0"/>
            </w:pPr>
            <w:r>
              <w:rPr>
                <w:sz w:val="20"/>
              </w:rPr>
              <w:t xml:space="preserve">до 30 декабря 2026 года,</w:t>
            </w:r>
          </w:p>
          <w:p>
            <w:pPr>
              <w:pStyle w:val="0"/>
            </w:pPr>
            <w:r>
              <w:rPr>
                <w:sz w:val="20"/>
              </w:rPr>
              <w:t xml:space="preserve">до 30 декабря 2027 года,</w:t>
            </w:r>
          </w:p>
          <w:p>
            <w:pPr>
              <w:pStyle w:val="0"/>
            </w:pPr>
            <w:r>
              <w:rPr>
                <w:sz w:val="20"/>
              </w:rPr>
              <w:t xml:space="preserve">до 30 декабря 2028 года,</w:t>
            </w:r>
          </w:p>
          <w:p>
            <w:pPr>
              <w:pStyle w:val="0"/>
            </w:pPr>
            <w:r>
              <w:rPr>
                <w:sz w:val="20"/>
              </w:rPr>
              <w:t xml:space="preserve">до 30 декабря 2029 года,</w:t>
            </w:r>
          </w:p>
          <w:p>
            <w:pPr>
              <w:pStyle w:val="0"/>
            </w:pPr>
            <w:r>
              <w:rPr>
                <w:sz w:val="20"/>
              </w:rPr>
              <w:t xml:space="preserve">до 30 декабря 2030 года</w:t>
            </w:r>
          </w:p>
        </w:tc>
        <w:tc>
          <w:tcPr>
            <w:tcW w:w="3288" w:type="dxa"/>
          </w:tcPr>
          <w:p>
            <w:pPr>
              <w:pStyle w:val="0"/>
            </w:pPr>
            <w:r>
              <w:rPr>
                <w:sz w:val="20"/>
              </w:rPr>
              <w:t xml:space="preserve">развитие межведомственного взаимодействия, подготовка согласованных предложений по совершенствованию законодательства Российской Федерации, рекомендаций по вопросам подготовки молодых специалистов для работодателей автономного округа, содействия трудоустройству и самозанятости молодежи автономного округа</w:t>
            </w:r>
          </w:p>
        </w:tc>
      </w:tr>
    </w:tbl>
    <w:p>
      <w:pPr>
        <w:sectPr>
          <w:headerReference w:type="default" r:id="rId87"/>
          <w:headerReference w:type="first" r:id="rId87"/>
          <w:footerReference w:type="default" r:id="rId88"/>
          <w:footerReference w:type="first" r:id="rId88"/>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20</w:t>
      </w:r>
    </w:p>
    <w:p>
      <w:pPr>
        <w:pStyle w:val="0"/>
        <w:jc w:val="right"/>
      </w:pPr>
      <w:r>
        <w:rPr>
          <w:sz w:val="20"/>
        </w:rPr>
        <w:t xml:space="preserve">к постановлению Правительства</w:t>
      </w:r>
    </w:p>
    <w:p>
      <w:pPr>
        <w:pStyle w:val="0"/>
        <w:jc w:val="right"/>
      </w:pPr>
      <w:r>
        <w:rPr>
          <w:sz w:val="20"/>
        </w:rPr>
        <w:t xml:space="preserve">Ханты-Мансийского</w:t>
      </w:r>
    </w:p>
    <w:p>
      <w:pPr>
        <w:pStyle w:val="0"/>
        <w:jc w:val="right"/>
      </w:pPr>
      <w:r>
        <w:rPr>
          <w:sz w:val="20"/>
        </w:rPr>
        <w:t xml:space="preserve">автономного округа - Югры</w:t>
      </w:r>
    </w:p>
    <w:p>
      <w:pPr>
        <w:pStyle w:val="0"/>
        <w:jc w:val="right"/>
      </w:pPr>
      <w:r>
        <w:rPr>
          <w:sz w:val="20"/>
        </w:rPr>
        <w:t xml:space="preserve">от 24 декабря 2021 года N 578-п</w:t>
      </w:r>
    </w:p>
    <w:p>
      <w:pPr>
        <w:pStyle w:val="0"/>
        <w:jc w:val="both"/>
      </w:pPr>
      <w:r>
        <w:rPr>
          <w:sz w:val="20"/>
        </w:rPr>
      </w:r>
    </w:p>
    <w:bookmarkStart w:id="4218" w:name="P4218"/>
    <w:bookmarkEnd w:id="4218"/>
    <w:p>
      <w:pPr>
        <w:pStyle w:val="2"/>
        <w:jc w:val="center"/>
      </w:pPr>
      <w:r>
        <w:rPr>
          <w:sz w:val="20"/>
        </w:rPr>
        <w:t xml:space="preserve">ПОРЯДОК</w:t>
      </w:r>
    </w:p>
    <w:p>
      <w:pPr>
        <w:pStyle w:val="2"/>
        <w:jc w:val="center"/>
      </w:pPr>
      <w:r>
        <w:rPr>
          <w:sz w:val="20"/>
        </w:rPr>
        <w:t xml:space="preserve">ОРГАНИЗАЦИИ ПРОФЕССИОНАЛЬНОГО ОБУЧЕНИЯ ГРАЖДАН ИЗ ЧИСЛА</w:t>
      </w:r>
    </w:p>
    <w:p>
      <w:pPr>
        <w:pStyle w:val="2"/>
        <w:jc w:val="center"/>
      </w:pPr>
      <w:r>
        <w:rPr>
          <w:sz w:val="20"/>
        </w:rPr>
        <w:t xml:space="preserve">ОБУЧАЮЩИХСЯ 10-Х И 11-Х КЛАССОВ (ДАЛЕЕ - ПОРЯДОК)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07" w:tooltip="Постановление Правительства ХМАО - Югры от 07.10.2022 N 503-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color w:val="392c69"/>
              </w:rPr>
              <w:t xml:space="preserve"> Правительства ХМАО - Югры от 07.10.2022 N 503-п;</w:t>
            </w:r>
          </w:p>
          <w:p>
            <w:pPr>
              <w:pStyle w:val="0"/>
              <w:jc w:val="center"/>
            </w:pPr>
            <w:r>
              <w:rPr>
                <w:sz w:val="20"/>
                <w:color w:val="392c69"/>
              </w:rPr>
              <w:t xml:space="preserve">в ред. постановлений Правительства ХМАО - Югры от 03.03.2023 </w:t>
            </w:r>
            <w:hyperlink w:history="0" r:id="rId608"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68-п</w:t>
              </w:r>
            </w:hyperlink>
            <w:r>
              <w:rPr>
                <w:sz w:val="20"/>
                <w:color w:val="392c69"/>
              </w:rPr>
              <w:t xml:space="preserve">,</w:t>
            </w:r>
          </w:p>
          <w:p>
            <w:pPr>
              <w:pStyle w:val="0"/>
              <w:jc w:val="center"/>
            </w:pPr>
            <w:r>
              <w:rPr>
                <w:sz w:val="20"/>
                <w:color w:val="392c69"/>
              </w:rPr>
              <w:t xml:space="preserve">от 20.10.2023 </w:t>
            </w:r>
            <w:hyperlink w:history="0" r:id="rId609"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ОБЩИЕ ПОЛОЖЕНИЯ</w:t>
      </w:r>
    </w:p>
    <w:p>
      <w:pPr>
        <w:pStyle w:val="0"/>
        <w:jc w:val="both"/>
      </w:pPr>
      <w:r>
        <w:rPr>
          <w:sz w:val="20"/>
        </w:rPr>
      </w:r>
    </w:p>
    <w:p>
      <w:pPr>
        <w:pStyle w:val="0"/>
        <w:ind w:firstLine="540"/>
        <w:jc w:val="both"/>
      </w:pPr>
      <w:r>
        <w:rPr>
          <w:sz w:val="20"/>
        </w:rPr>
        <w:t xml:space="preserve">1.1. Порядок определяет условия организации профессионального обучения граждан из числа обучающихся 10-х и 11-х классов и достигших возраста 14 лет, имеющих средний балл аттестата об основном общем образовании ниже значения 3,6 балла по итогам основного государственного экзамена, в том числе обучающихся вечерних общеобразовательных организаций, расположенных в Ханты-Мансийском автономном округе - Югре (далее - граждане, автономный округ) по направлению "Организация профессионального обучения учащихся 10 - 11 классов общеобразовательных организаций, расположенных в автономном округе" основного </w:t>
      </w:r>
      <w:hyperlink w:history="0" r:id="rId610" w:tooltip="Постановление Правительства ХМАО - Югры от 31.10.2021 N 472-п (ред. от 13.10.2023) &quot;О государственной программе Ханты-Мансийского автономного округа - Югры &quot;Поддержка занятости населения&quot; {КонсультантПлюс}">
        <w:r>
          <w:rPr>
            <w:sz w:val="20"/>
            <w:color w:val="0000ff"/>
          </w:rPr>
          <w:t xml:space="preserve">мероприятия 1.5</w:t>
        </w:r>
      </w:hyperlink>
      <w:r>
        <w:rPr>
          <w:sz w:val="20"/>
        </w:rPr>
        <w:t xml:space="preserve"> "Содействие занятости молодежи" подпрограммы 1 "Содействие трудоустройству граждан" государственной программы автономного округа "Поддержка занятости населения" (далее - мероприятие), утвержденной постановлением Правительства автономного округа от 31 октября 2021 года N 472-п.</w:t>
      </w:r>
    </w:p>
    <w:p>
      <w:pPr>
        <w:pStyle w:val="0"/>
        <w:jc w:val="both"/>
      </w:pPr>
      <w:r>
        <w:rPr>
          <w:sz w:val="20"/>
        </w:rPr>
        <w:t xml:space="preserve">(в ред. постановлений Правительства ХМАО - Югры от 03.03.2023 </w:t>
      </w:r>
      <w:hyperlink w:history="0" r:id="rId611" w:tooltip="Постановление Правительства ХМАО - Югры от 03.03.2023 N 68-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68-п</w:t>
        </w:r>
      </w:hyperlink>
      <w:r>
        <w:rPr>
          <w:sz w:val="20"/>
        </w:rPr>
        <w:t xml:space="preserve">, от 20.10.2023 </w:t>
      </w:r>
      <w:hyperlink w:history="0" r:id="rId612"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N 515-п</w:t>
        </w:r>
      </w:hyperlink>
      <w:r>
        <w:rPr>
          <w:sz w:val="20"/>
        </w:rPr>
        <w:t xml:space="preserve">)</w:t>
      </w:r>
    </w:p>
    <w:p>
      <w:pPr>
        <w:pStyle w:val="0"/>
        <w:spacing w:before="200" w:line-rule="auto"/>
        <w:ind w:firstLine="540"/>
        <w:jc w:val="both"/>
      </w:pPr>
      <w:r>
        <w:rPr>
          <w:sz w:val="20"/>
        </w:rPr>
        <w:t xml:space="preserve">Профессиональное обучение граждан организуется с целью приобретения ими профессиональных навыков и компетенций в процессе обучения, повышения конкурентоспособности на рынке труда и содействия их дальнейшему трудоустройству.</w:t>
      </w:r>
    </w:p>
    <w:p>
      <w:pPr>
        <w:pStyle w:val="0"/>
        <w:jc w:val="both"/>
      </w:pPr>
      <w:r>
        <w:rPr>
          <w:sz w:val="20"/>
        </w:rPr>
        <w:t xml:space="preserve">(в ред. </w:t>
      </w:r>
      <w:hyperlink w:history="0" r:id="rId613"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1.2. В Порядке применяются следующие понятия и сокращения:</w:t>
      </w:r>
    </w:p>
    <w:p>
      <w:pPr>
        <w:pStyle w:val="0"/>
        <w:spacing w:before="200" w:line-rule="auto"/>
        <w:ind w:firstLine="540"/>
        <w:jc w:val="both"/>
      </w:pPr>
      <w:r>
        <w:rPr>
          <w:sz w:val="20"/>
        </w:rPr>
        <w:t xml:space="preserve">Департамент - Департамент труда и занятости населения автономного округа;</w:t>
      </w:r>
    </w:p>
    <w:p>
      <w:pPr>
        <w:pStyle w:val="0"/>
        <w:spacing w:before="200" w:line-rule="auto"/>
        <w:ind w:firstLine="540"/>
        <w:jc w:val="both"/>
      </w:pPr>
      <w:r>
        <w:rPr>
          <w:sz w:val="20"/>
        </w:rPr>
        <w:t xml:space="preserve">Депобразования и науки Югры - Департамент образования и науки автономного округа;</w:t>
      </w:r>
    </w:p>
    <w:p>
      <w:pPr>
        <w:pStyle w:val="0"/>
        <w:spacing w:before="200" w:line-rule="auto"/>
        <w:ind w:firstLine="540"/>
        <w:jc w:val="both"/>
      </w:pPr>
      <w:r>
        <w:rPr>
          <w:sz w:val="20"/>
        </w:rPr>
        <w:t xml:space="preserve">законный представитель - лицо, являющееся по отношению к гражданину родителем, усыновителем или попечителем;</w:t>
      </w:r>
    </w:p>
    <w:p>
      <w:pPr>
        <w:pStyle w:val="0"/>
        <w:spacing w:before="200" w:line-rule="auto"/>
        <w:ind w:firstLine="540"/>
        <w:jc w:val="both"/>
      </w:pPr>
      <w:r>
        <w:rPr>
          <w:sz w:val="20"/>
        </w:rPr>
        <w:t xml:space="preserve">профобучение - профессиональное обучение граждан профессиям (специальностям), перечень которых определяют профессиональные образовательные организации на текущий учебный год;</w:t>
      </w:r>
    </w:p>
    <w:p>
      <w:pPr>
        <w:pStyle w:val="0"/>
        <w:spacing w:before="200" w:line-rule="auto"/>
        <w:ind w:firstLine="540"/>
        <w:jc w:val="both"/>
      </w:pPr>
      <w:r>
        <w:rPr>
          <w:sz w:val="20"/>
        </w:rPr>
        <w:t xml:space="preserve">профессиональная образовательная организация - подведомственные Департаменту образования и науки автономного округа государственные бюджетные и автономные учреждения профессионального образования автономного округа;</w:t>
      </w:r>
    </w:p>
    <w:p>
      <w:pPr>
        <w:pStyle w:val="0"/>
        <w:jc w:val="both"/>
      </w:pPr>
      <w:r>
        <w:rPr>
          <w:sz w:val="20"/>
        </w:rPr>
        <w:t xml:space="preserve">(в ред. </w:t>
      </w:r>
      <w:hyperlink w:history="0" r:id="rId614"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центр занятости населения - казенное учреждение автономного округа, оказывающее услуги в сфере содействия занятости и защиты от безработицы, трудовой миграции;</w:t>
      </w:r>
    </w:p>
    <w:p>
      <w:pPr>
        <w:pStyle w:val="0"/>
        <w:spacing w:before="200" w:line-rule="auto"/>
        <w:ind w:firstLine="540"/>
        <w:jc w:val="both"/>
      </w:pPr>
      <w:r>
        <w:rPr>
          <w:sz w:val="20"/>
        </w:rPr>
        <w:t xml:space="preserve">услуга по профориентации - государственная услуга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1.3. Профобучение граждан осуществляется не более 1 раза.</w:t>
      </w:r>
    </w:p>
    <w:bookmarkStart w:id="4242" w:name="P4242"/>
    <w:bookmarkEnd w:id="4242"/>
    <w:p>
      <w:pPr>
        <w:pStyle w:val="0"/>
        <w:spacing w:before="200" w:line-rule="auto"/>
        <w:ind w:firstLine="540"/>
        <w:jc w:val="both"/>
      </w:pPr>
      <w:r>
        <w:rPr>
          <w:sz w:val="20"/>
        </w:rPr>
        <w:t xml:space="preserve">1.4. Участниками мероприятия являются граждане, профессиональные образовательные организации.</w:t>
      </w:r>
    </w:p>
    <w:p>
      <w:pPr>
        <w:pStyle w:val="0"/>
        <w:spacing w:before="200" w:line-rule="auto"/>
        <w:ind w:firstLine="540"/>
        <w:jc w:val="both"/>
      </w:pPr>
      <w:r>
        <w:rPr>
          <w:sz w:val="20"/>
        </w:rPr>
        <w:t xml:space="preserve">Гражданин на момент подачи заявления об участии в мероприятии должен соответствовать следующим требованиям:</w:t>
      </w:r>
    </w:p>
    <w:p>
      <w:pPr>
        <w:pStyle w:val="0"/>
        <w:jc w:val="both"/>
      </w:pPr>
      <w:r>
        <w:rPr>
          <w:sz w:val="20"/>
        </w:rPr>
        <w:t xml:space="preserve">(абзац введен </w:t>
      </w:r>
      <w:hyperlink w:history="0" r:id="rId615"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20.10.2023 N 515-п)</w:t>
      </w:r>
    </w:p>
    <w:p>
      <w:pPr>
        <w:pStyle w:val="0"/>
        <w:spacing w:before="200" w:line-rule="auto"/>
        <w:ind w:firstLine="540"/>
        <w:jc w:val="both"/>
      </w:pPr>
      <w:r>
        <w:rPr>
          <w:sz w:val="20"/>
        </w:rPr>
        <w:t xml:space="preserve">являться гражданином Российской Федерации;</w:t>
      </w:r>
    </w:p>
    <w:p>
      <w:pPr>
        <w:pStyle w:val="0"/>
        <w:jc w:val="both"/>
      </w:pPr>
      <w:r>
        <w:rPr>
          <w:sz w:val="20"/>
        </w:rPr>
        <w:t xml:space="preserve">(абзац введен </w:t>
      </w:r>
      <w:hyperlink w:history="0" r:id="rId616"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20.10.2023 N 515-п)</w:t>
      </w:r>
    </w:p>
    <w:p>
      <w:pPr>
        <w:pStyle w:val="0"/>
        <w:spacing w:before="200" w:line-rule="auto"/>
        <w:ind w:firstLine="540"/>
        <w:jc w:val="both"/>
      </w:pPr>
      <w:r>
        <w:rPr>
          <w:sz w:val="20"/>
        </w:rPr>
        <w:t xml:space="preserve">являться учащимся 10-го или 11-го класса общеобразовательной организации, в том числе вечерней общеобразовательной организации, расположенных в автономном округе;</w:t>
      </w:r>
    </w:p>
    <w:p>
      <w:pPr>
        <w:pStyle w:val="0"/>
        <w:jc w:val="both"/>
      </w:pPr>
      <w:r>
        <w:rPr>
          <w:sz w:val="20"/>
        </w:rPr>
        <w:t xml:space="preserve">(абзац введен </w:t>
      </w:r>
      <w:hyperlink w:history="0" r:id="rId617"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20.10.2023 N 515-п)</w:t>
      </w:r>
    </w:p>
    <w:p>
      <w:pPr>
        <w:pStyle w:val="0"/>
        <w:spacing w:before="200" w:line-rule="auto"/>
        <w:ind w:firstLine="540"/>
        <w:jc w:val="both"/>
      </w:pPr>
      <w:r>
        <w:rPr>
          <w:sz w:val="20"/>
        </w:rPr>
        <w:t xml:space="preserve">достигнуть возраста 14 лет;</w:t>
      </w:r>
    </w:p>
    <w:p>
      <w:pPr>
        <w:pStyle w:val="0"/>
        <w:jc w:val="both"/>
      </w:pPr>
      <w:r>
        <w:rPr>
          <w:sz w:val="20"/>
        </w:rPr>
        <w:t xml:space="preserve">(абзац введен </w:t>
      </w:r>
      <w:hyperlink w:history="0" r:id="rId618"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20.10.2023 N 515-п)</w:t>
      </w:r>
    </w:p>
    <w:p>
      <w:pPr>
        <w:pStyle w:val="0"/>
        <w:spacing w:before="200" w:line-rule="auto"/>
        <w:ind w:firstLine="540"/>
        <w:jc w:val="both"/>
      </w:pPr>
      <w:r>
        <w:rPr>
          <w:sz w:val="20"/>
        </w:rPr>
        <w:t xml:space="preserve">иметь средний балл аттестата об основном общем образовании ниже значения 3,6 балла по итогам основного государственного экзамена.</w:t>
      </w:r>
    </w:p>
    <w:p>
      <w:pPr>
        <w:pStyle w:val="0"/>
        <w:jc w:val="both"/>
      </w:pPr>
      <w:r>
        <w:rPr>
          <w:sz w:val="20"/>
        </w:rPr>
        <w:t xml:space="preserve">(абзац введен </w:t>
      </w:r>
      <w:hyperlink w:history="0" r:id="rId619"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20.10.2023 N 515-п)</w:t>
      </w:r>
    </w:p>
    <w:p>
      <w:pPr>
        <w:pStyle w:val="0"/>
        <w:spacing w:before="200" w:line-rule="auto"/>
        <w:ind w:firstLine="540"/>
        <w:jc w:val="both"/>
      </w:pPr>
      <w:r>
        <w:rPr>
          <w:sz w:val="20"/>
        </w:rPr>
        <w:t xml:space="preserve">1.5. Депобразования и науки Югры предоставляет субсидию из бюджета автономного округа профессиональной образовательной организации на профобучение граждан в соответствии со </w:t>
      </w:r>
      <w:hyperlink w:history="0" r:id="rId620" w:tooltip="&quot;Бюджетный кодекс Российской Федерации&quot; от 31.07.1998 N 145-ФЗ (ред. от 02.11.2023) {КонсультантПлюс}">
        <w:r>
          <w:rPr>
            <w:sz w:val="20"/>
            <w:color w:val="0000ff"/>
          </w:rPr>
          <w:t xml:space="preserve">статьей 78.1</w:t>
        </w:r>
      </w:hyperlink>
      <w:r>
        <w:rPr>
          <w:sz w:val="20"/>
        </w:rPr>
        <w:t xml:space="preserve"> Бюджетного кодекса Российской Федерации.</w:t>
      </w:r>
    </w:p>
    <w:bookmarkStart w:id="4254" w:name="P4254"/>
    <w:bookmarkEnd w:id="4254"/>
    <w:p>
      <w:pPr>
        <w:pStyle w:val="0"/>
        <w:spacing w:before="200" w:line-rule="auto"/>
        <w:ind w:firstLine="540"/>
        <w:jc w:val="both"/>
      </w:pPr>
      <w:r>
        <w:rPr>
          <w:sz w:val="20"/>
        </w:rPr>
        <w:t xml:space="preserve">1.6. Средняя стоимость профобучения 1 человека за курс обучения составляет не более 38,5 тыс. рублей.</w:t>
      </w:r>
    </w:p>
    <w:p>
      <w:pPr>
        <w:pStyle w:val="0"/>
        <w:jc w:val="both"/>
      </w:pPr>
      <w:r>
        <w:rPr>
          <w:sz w:val="20"/>
        </w:rPr>
        <w:t xml:space="preserve">(п. 1.6 введен </w:t>
      </w:r>
      <w:hyperlink w:history="0" r:id="rId621"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20.10.2023 N 515-п)</w:t>
      </w:r>
    </w:p>
    <w:p>
      <w:pPr>
        <w:pStyle w:val="0"/>
        <w:jc w:val="both"/>
      </w:pPr>
      <w:r>
        <w:rPr>
          <w:sz w:val="20"/>
        </w:rPr>
      </w:r>
    </w:p>
    <w:p>
      <w:pPr>
        <w:pStyle w:val="2"/>
        <w:outlineLvl w:val="1"/>
        <w:jc w:val="center"/>
      </w:pPr>
      <w:r>
        <w:rPr>
          <w:sz w:val="20"/>
        </w:rPr>
        <w:t xml:space="preserve">Раздел II. ОРГАНИЗАЦИЯ ПРОФОБУЧЕНИЯ ГРАЖДАН</w:t>
      </w:r>
    </w:p>
    <w:p>
      <w:pPr>
        <w:pStyle w:val="0"/>
        <w:jc w:val="both"/>
      </w:pPr>
      <w:r>
        <w:rPr>
          <w:sz w:val="20"/>
        </w:rPr>
      </w:r>
    </w:p>
    <w:p>
      <w:pPr>
        <w:pStyle w:val="0"/>
        <w:ind w:firstLine="540"/>
        <w:jc w:val="both"/>
      </w:pPr>
      <w:r>
        <w:rPr>
          <w:sz w:val="20"/>
        </w:rPr>
        <w:t xml:space="preserve">2.1. Профессиональная образовательная организация осуществляет профобучение:</w:t>
      </w:r>
    </w:p>
    <w:p>
      <w:pPr>
        <w:pStyle w:val="0"/>
        <w:spacing w:before="200" w:line-rule="auto"/>
        <w:ind w:firstLine="540"/>
        <w:jc w:val="both"/>
      </w:pPr>
      <w:r>
        <w:rPr>
          <w:sz w:val="20"/>
        </w:rPr>
        <w:t xml:space="preserve">2.1.1. По очной форме с возможностью применения дистанционных образовательных технологий на базе профессиональных образовательных организаций.</w:t>
      </w:r>
    </w:p>
    <w:p>
      <w:pPr>
        <w:pStyle w:val="0"/>
        <w:spacing w:before="200" w:line-rule="auto"/>
        <w:ind w:firstLine="540"/>
        <w:jc w:val="both"/>
      </w:pPr>
      <w:r>
        <w:rPr>
          <w:sz w:val="20"/>
        </w:rPr>
        <w:t xml:space="preserve">2.1.2. Курсовым (групповым) или индивидуальным способами.</w:t>
      </w:r>
    </w:p>
    <w:p>
      <w:pPr>
        <w:pStyle w:val="0"/>
        <w:spacing w:before="200" w:line-rule="auto"/>
        <w:ind w:firstLine="540"/>
        <w:jc w:val="both"/>
      </w:pPr>
      <w:r>
        <w:rPr>
          <w:sz w:val="20"/>
        </w:rPr>
        <w:t xml:space="preserve">2.1.3. Продолжительностью не более 12 месяцев.</w:t>
      </w:r>
    </w:p>
    <w:p>
      <w:pPr>
        <w:pStyle w:val="0"/>
        <w:spacing w:before="200" w:line-rule="auto"/>
        <w:ind w:firstLine="540"/>
        <w:jc w:val="both"/>
      </w:pPr>
      <w:r>
        <w:rPr>
          <w:sz w:val="20"/>
        </w:rPr>
        <w:t xml:space="preserve">2.2. Перечень профессий (специальностей), программы профобучения, стоимость образовательной программы в соответствии с </w:t>
      </w:r>
      <w:hyperlink w:history="0" w:anchor="P4254" w:tooltip="1.6. Средняя стоимость профобучения 1 человека за курс обучения составляет не более 38,5 тыс. рублей.">
        <w:r>
          <w:rPr>
            <w:sz w:val="20"/>
            <w:color w:val="0000ff"/>
          </w:rPr>
          <w:t xml:space="preserve">пунктом 1.6</w:t>
        </w:r>
      </w:hyperlink>
      <w:r>
        <w:rPr>
          <w:sz w:val="20"/>
        </w:rPr>
        <w:t xml:space="preserve"> Порядка утверждает центр занятости населения по согласованию с профессиональными образовательными организациями на текущий учебный год и размещает на интерактивном портале (</w:t>
      </w:r>
      <w:r>
        <w:rPr>
          <w:sz w:val="20"/>
        </w:rPr>
        <w:t xml:space="preserve">http://job.admhmao.ru</w:t>
      </w:r>
      <w:r>
        <w:rPr>
          <w:sz w:val="20"/>
        </w:rPr>
        <w:t xml:space="preserve">) Департамента (далее - портал), официальном сайте профессиональной образовательной организации.</w:t>
      </w:r>
    </w:p>
    <w:p>
      <w:pPr>
        <w:pStyle w:val="0"/>
        <w:jc w:val="both"/>
      </w:pPr>
      <w:r>
        <w:rPr>
          <w:sz w:val="20"/>
        </w:rPr>
        <w:t xml:space="preserve">(в ред. </w:t>
      </w:r>
      <w:hyperlink w:history="0" r:id="rId622"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2.3. В целях формирования группы граждан для участия в мероприятии центр занятости населения размещает не позднее чем за 5 рабочих дней до начала подачи документов, предусмотренных </w:t>
      </w:r>
      <w:hyperlink w:history="0" w:anchor="P4267" w:tooltip="2.4. Для участия в мероприятии гражданин в присутствии законного представителя представляет в сроки, установленные в объявлении, в центр занятости населения заявление об участии в мероприятии по форме, утвержденной Департаментом (далее - заявление), и предъявляет следующие документы:">
        <w:r>
          <w:rPr>
            <w:sz w:val="20"/>
            <w:color w:val="0000ff"/>
          </w:rPr>
          <w:t xml:space="preserve">пунктом 2.4</w:t>
        </w:r>
      </w:hyperlink>
      <w:r>
        <w:rPr>
          <w:sz w:val="20"/>
        </w:rPr>
        <w:t xml:space="preserve"> Порядка, на портале в разделе "Гражданам" объявление о сроках приема документов для участия в мероприятии и условиях прохождения профобучения (далее - объявление).</w:t>
      </w:r>
    </w:p>
    <w:p>
      <w:pPr>
        <w:pStyle w:val="0"/>
        <w:jc w:val="both"/>
      </w:pPr>
      <w:r>
        <w:rPr>
          <w:sz w:val="20"/>
        </w:rPr>
        <w:t xml:space="preserve">(в ред. </w:t>
      </w:r>
      <w:hyperlink w:history="0" r:id="rId623"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bookmarkStart w:id="4267" w:name="P4267"/>
    <w:bookmarkEnd w:id="4267"/>
    <w:p>
      <w:pPr>
        <w:pStyle w:val="0"/>
        <w:spacing w:before="200" w:line-rule="auto"/>
        <w:ind w:firstLine="540"/>
        <w:jc w:val="both"/>
      </w:pPr>
      <w:r>
        <w:rPr>
          <w:sz w:val="20"/>
        </w:rPr>
        <w:t xml:space="preserve">2.4. Для участия в мероприятии гражданин в присутствии законного представителя представляет в сроки, установленные в объявлении, в центр занятости населения заявление об участии в мероприятии по форме, утвержденной Департаментом (далее - заявление), и предъявляет следующие документы:</w:t>
      </w:r>
    </w:p>
    <w:p>
      <w:pPr>
        <w:pStyle w:val="0"/>
        <w:spacing w:before="200" w:line-rule="auto"/>
        <w:ind w:firstLine="540"/>
        <w:jc w:val="both"/>
      </w:pPr>
      <w:r>
        <w:rPr>
          <w:sz w:val="20"/>
        </w:rPr>
        <w:t xml:space="preserve">паспорта гражданина и его законного представителя или их временные удостоверения личности, выданные территориальным органом Министерства внутренних дел Российской Федерации (далее - временное удостоверение личности);</w:t>
      </w:r>
    </w:p>
    <w:p>
      <w:pPr>
        <w:pStyle w:val="0"/>
        <w:jc w:val="both"/>
      </w:pPr>
      <w:r>
        <w:rPr>
          <w:sz w:val="20"/>
        </w:rPr>
        <w:t xml:space="preserve">(абзац введен </w:t>
      </w:r>
      <w:hyperlink w:history="0" r:id="rId624"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постановлением</w:t>
        </w:r>
      </w:hyperlink>
      <w:r>
        <w:rPr>
          <w:sz w:val="20"/>
        </w:rPr>
        <w:t xml:space="preserve"> Правительства ХМАО - Югры от 20.10.2023 N 515-п)</w:t>
      </w:r>
    </w:p>
    <w:p>
      <w:pPr>
        <w:pStyle w:val="0"/>
        <w:spacing w:before="200" w:line-rule="auto"/>
        <w:ind w:firstLine="540"/>
        <w:jc w:val="both"/>
      </w:pPr>
      <w:r>
        <w:rPr>
          <w:sz w:val="20"/>
        </w:rPr>
        <w:t xml:space="preserve">копию аттестата об основном общем образовании, заверенную руководителем общеобразовательной организации автономного округа;</w:t>
      </w:r>
    </w:p>
    <w:p>
      <w:pPr>
        <w:pStyle w:val="0"/>
        <w:jc w:val="both"/>
      </w:pPr>
      <w:r>
        <w:rPr>
          <w:sz w:val="20"/>
        </w:rPr>
        <w:t xml:space="preserve">(в ред. </w:t>
      </w:r>
      <w:hyperlink w:history="0" r:id="rId625"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справку из общеобразовательной организации, подтверждающую факт обучения гражданина в 10-м или 11-м классе.</w:t>
      </w:r>
    </w:p>
    <w:p>
      <w:pPr>
        <w:pStyle w:val="0"/>
        <w:spacing w:before="200" w:line-rule="auto"/>
        <w:ind w:firstLine="540"/>
        <w:jc w:val="both"/>
      </w:pPr>
      <w:r>
        <w:rPr>
          <w:sz w:val="20"/>
        </w:rPr>
        <w:t xml:space="preserve">2.5. Центр занятости населения:</w:t>
      </w:r>
    </w:p>
    <w:p>
      <w:pPr>
        <w:pStyle w:val="0"/>
        <w:spacing w:before="200" w:line-rule="auto"/>
        <w:ind w:firstLine="540"/>
        <w:jc w:val="both"/>
      </w:pPr>
      <w:r>
        <w:rPr>
          <w:sz w:val="20"/>
        </w:rPr>
        <w:t xml:space="preserve">2.5.1. Регистрирует заявление гражданина в день его поступления в журнале регистрации при условии представления документов, предусмотренных </w:t>
      </w:r>
      <w:hyperlink w:history="0" w:anchor="P4267" w:tooltip="2.4. Для участия в мероприятии гражданин в присутствии законного представителя представляет в сроки, установленные в объявлении, в центр занятости населения заявление об участии в мероприятии по форме, утвержденной Департаментом (далее - заявление), и предъявляет следующие документы:">
        <w:r>
          <w:rPr>
            <w:sz w:val="20"/>
            <w:color w:val="0000ff"/>
          </w:rPr>
          <w:t xml:space="preserve">пунктом 2.4</w:t>
        </w:r>
      </w:hyperlink>
      <w:r>
        <w:rPr>
          <w:sz w:val="20"/>
        </w:rPr>
        <w:t xml:space="preserve"> Порядка, в полном объеме.</w:t>
      </w:r>
    </w:p>
    <w:p>
      <w:pPr>
        <w:pStyle w:val="0"/>
        <w:spacing w:before="200" w:line-rule="auto"/>
        <w:ind w:firstLine="540"/>
        <w:jc w:val="both"/>
      </w:pPr>
      <w:r>
        <w:rPr>
          <w:sz w:val="20"/>
        </w:rPr>
        <w:t xml:space="preserve">2.5.2. Снимает копии (в день подачи заявления) с паспортов гражданина и его законного представителя или их временных удостоверений личности, заверяет их в установленном законодательством Российской Федерации порядке, приобщает к личному делу гражданина и возвращает паспорта или временные удостоверения личности гражданину и его законному представителю.</w:t>
      </w:r>
    </w:p>
    <w:p>
      <w:pPr>
        <w:pStyle w:val="0"/>
        <w:jc w:val="both"/>
      </w:pPr>
      <w:r>
        <w:rPr>
          <w:sz w:val="20"/>
        </w:rPr>
        <w:t xml:space="preserve">(пп. 2.5.2 в ред. </w:t>
      </w:r>
      <w:hyperlink w:history="0" r:id="rId626"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2.5.3. Осуществляет по согласованию с гражданином в день его обращения подбор профессии (специальности) в соответствии с его предпочтениями и мнением его законного представителя, с учетом востребованности профессии (специальности) на рынке труда автономного округа.</w:t>
      </w:r>
    </w:p>
    <w:p>
      <w:pPr>
        <w:pStyle w:val="0"/>
        <w:spacing w:before="200" w:line-rule="auto"/>
        <w:ind w:firstLine="540"/>
        <w:jc w:val="both"/>
      </w:pPr>
      <w:r>
        <w:rPr>
          <w:sz w:val="20"/>
        </w:rPr>
        <w:t xml:space="preserve">2.5.4. Перед направлением на обучение представляет гражданину услугу по профориентации в соответствии с Административным регламентом предоставления услуги по профориентации, утвержденным приказом Департамента.</w:t>
      </w:r>
    </w:p>
    <w:p>
      <w:pPr>
        <w:pStyle w:val="0"/>
        <w:jc w:val="both"/>
      </w:pPr>
      <w:r>
        <w:rPr>
          <w:sz w:val="20"/>
        </w:rPr>
        <w:t xml:space="preserve">(в ред. </w:t>
      </w:r>
      <w:hyperlink w:history="0" r:id="rId627"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2.5.5. В случае выбора гражданином профессии (специальности), требующей прохождения медицинского осмотра, направляет его на медицинский осмотр в медицинское учреждение, прошедшее отбор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или компенсирует ему (его законному представителю) затраты по прохождению медицинского осмотра путем перечисления средств отдельным платежным поручением с указанием целевого назначения (направления) расходования бюджетных средств на его лицевой счет или лицевой счет его законного представителя в кредитной организации в течение 5 рабочих дней с даты представления гражданином сведения о его счете или законного представителя, открытом в кредитной организации, а также оригиналов следующих документов:</w:t>
      </w:r>
    </w:p>
    <w:p>
      <w:pPr>
        <w:pStyle w:val="0"/>
        <w:spacing w:before="200" w:line-rule="auto"/>
        <w:ind w:firstLine="540"/>
        <w:jc w:val="both"/>
      </w:pPr>
      <w:r>
        <w:rPr>
          <w:sz w:val="20"/>
        </w:rPr>
        <w:t xml:space="preserve">договора с медицинским учреждением о прохождении медицинского осмотра;</w:t>
      </w:r>
    </w:p>
    <w:p>
      <w:pPr>
        <w:pStyle w:val="0"/>
        <w:spacing w:before="200" w:line-rule="auto"/>
        <w:ind w:firstLine="540"/>
        <w:jc w:val="both"/>
      </w:pPr>
      <w:r>
        <w:rPr>
          <w:sz w:val="20"/>
        </w:rPr>
        <w:t xml:space="preserve">акта выполненных работ (услуг);</w:t>
      </w:r>
    </w:p>
    <w:p>
      <w:pPr>
        <w:pStyle w:val="0"/>
        <w:spacing w:before="200" w:line-rule="auto"/>
        <w:ind w:firstLine="540"/>
        <w:jc w:val="both"/>
      </w:pPr>
      <w:r>
        <w:rPr>
          <w:sz w:val="20"/>
        </w:rPr>
        <w:t xml:space="preserve">кассового чека (приходного кассового ордера).</w:t>
      </w:r>
    </w:p>
    <w:p>
      <w:pPr>
        <w:pStyle w:val="0"/>
        <w:spacing w:before="200" w:line-rule="auto"/>
        <w:ind w:firstLine="540"/>
        <w:jc w:val="both"/>
      </w:pPr>
      <w:r>
        <w:rPr>
          <w:sz w:val="20"/>
        </w:rPr>
        <w:t xml:space="preserve">2.5.6. В течение 7 рабочих дней со дня регистрации заявления осуществляет проверку сведений, указанных в нем, в отношении гражданина и его законного представителя путем запроса в порядке межведомственного взаимодействия в соответствии с законодательством Российской Федерации:</w:t>
      </w:r>
    </w:p>
    <w:p>
      <w:pPr>
        <w:pStyle w:val="0"/>
        <w:spacing w:before="200" w:line-rule="auto"/>
        <w:ind w:firstLine="540"/>
        <w:jc w:val="both"/>
      </w:pPr>
      <w:r>
        <w:rPr>
          <w:sz w:val="20"/>
        </w:rPr>
        <w:t xml:space="preserve">данных о рождении, смерти, заключении брака, расторжении брака, перемене фамилии, имени, отчества, на предмет соответствия фамильно-именной группы, даты рождения - в Едином государственном реестре записей актов гражданского состояния;</w:t>
      </w:r>
    </w:p>
    <w:p>
      <w:pPr>
        <w:pStyle w:val="0"/>
        <w:jc w:val="both"/>
      </w:pPr>
      <w:r>
        <w:rPr>
          <w:sz w:val="20"/>
        </w:rPr>
        <w:t xml:space="preserve">(в ред. </w:t>
      </w:r>
      <w:hyperlink w:history="0" r:id="rId628"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сведений о действительности (недействительности) документов, удостоверяющих личность и содержащих указание на гражданство Российской Федерации гражданина и его законного представителя, - в Министерстве внутренних дел Российской Федерации.</w:t>
      </w:r>
    </w:p>
    <w:p>
      <w:pPr>
        <w:pStyle w:val="0"/>
        <w:jc w:val="both"/>
      </w:pPr>
      <w:r>
        <w:rPr>
          <w:sz w:val="20"/>
        </w:rPr>
        <w:t xml:space="preserve">(в ред. </w:t>
      </w:r>
      <w:hyperlink w:history="0" r:id="rId629"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Гражданин и (или) его законный представитель вправе самостоятельно представить в центр занятости населения копии документов, указанных в настоящем пункте.</w:t>
      </w:r>
    </w:p>
    <w:p>
      <w:pPr>
        <w:pStyle w:val="0"/>
        <w:jc w:val="both"/>
      </w:pPr>
      <w:r>
        <w:rPr>
          <w:sz w:val="20"/>
        </w:rPr>
        <w:t xml:space="preserve">(в ред. </w:t>
      </w:r>
      <w:hyperlink w:history="0" r:id="rId630"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2.5.7. В течение 1 рабочего дня с даты регистрации заявления гражданина или представления гражданином положительного заключения по результатам медицинского осмотра (в случае выбора гражданином профессии, требующей медицинского осмотра) принимает одно из следующих решений по форме, утвержденной Департаментом:</w:t>
      </w:r>
    </w:p>
    <w:p>
      <w:pPr>
        <w:pStyle w:val="0"/>
        <w:spacing w:before="200" w:line-rule="auto"/>
        <w:ind w:firstLine="540"/>
        <w:jc w:val="both"/>
      </w:pPr>
      <w:r>
        <w:rPr>
          <w:sz w:val="20"/>
        </w:rPr>
        <w:t xml:space="preserve">о направлении гражданина на профобучение;</w:t>
      </w:r>
    </w:p>
    <w:p>
      <w:pPr>
        <w:pStyle w:val="0"/>
        <w:spacing w:before="200" w:line-rule="auto"/>
        <w:ind w:firstLine="540"/>
        <w:jc w:val="both"/>
      </w:pPr>
      <w:r>
        <w:rPr>
          <w:sz w:val="20"/>
        </w:rPr>
        <w:t xml:space="preserve">об отказе в направлении гражданина на профобучение по основанию, предусмотренному </w:t>
      </w:r>
      <w:hyperlink w:history="0" w:anchor="P4297" w:tooltip="2.5.8. Основаниями для отказа в направлении гражданина на профобучение являются:">
        <w:r>
          <w:rPr>
            <w:sz w:val="20"/>
            <w:color w:val="0000ff"/>
          </w:rPr>
          <w:t xml:space="preserve">подпунктом 2.5.8 пункта 2.5</w:t>
        </w:r>
      </w:hyperlink>
      <w:r>
        <w:rPr>
          <w:sz w:val="20"/>
        </w:rPr>
        <w:t xml:space="preserve"> Порядка.</w:t>
      </w:r>
    </w:p>
    <w:p>
      <w:pPr>
        <w:pStyle w:val="0"/>
        <w:spacing w:before="200" w:line-rule="auto"/>
        <w:ind w:firstLine="540"/>
        <w:jc w:val="both"/>
      </w:pPr>
      <w:r>
        <w:rPr>
          <w:sz w:val="20"/>
        </w:rPr>
        <w:t xml:space="preserve">Решение об отказе в направлении гражданина на профобучение с указанием причины отказа центр занятости населения в течение 3 рабочих дней со дня принятия такого решения вручает гражданину лично либо его законному представителю или направляет на электронную почту, указанную в заявлении.</w:t>
      </w:r>
    </w:p>
    <w:p>
      <w:pPr>
        <w:pStyle w:val="0"/>
        <w:jc w:val="both"/>
      </w:pPr>
      <w:r>
        <w:rPr>
          <w:sz w:val="20"/>
        </w:rPr>
        <w:t xml:space="preserve">(в ред. </w:t>
      </w:r>
      <w:hyperlink w:history="0" r:id="rId631"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При представлении гражданином отрицательного заключения по результатам медицинского осмотра центр занятости населения продолжает осуществлять подбор профессии (специальности).</w:t>
      </w:r>
    </w:p>
    <w:bookmarkStart w:id="4297" w:name="P4297"/>
    <w:bookmarkEnd w:id="4297"/>
    <w:p>
      <w:pPr>
        <w:pStyle w:val="0"/>
        <w:spacing w:before="200" w:line-rule="auto"/>
        <w:ind w:firstLine="540"/>
        <w:jc w:val="both"/>
      </w:pPr>
      <w:r>
        <w:rPr>
          <w:sz w:val="20"/>
        </w:rPr>
        <w:t xml:space="preserve">2.5.8. Основаниями для отказа в направлении гражданина на профобучение являются:</w:t>
      </w:r>
    </w:p>
    <w:p>
      <w:pPr>
        <w:pStyle w:val="0"/>
        <w:spacing w:before="200" w:line-rule="auto"/>
        <w:ind w:firstLine="540"/>
        <w:jc w:val="both"/>
      </w:pPr>
      <w:r>
        <w:rPr>
          <w:sz w:val="20"/>
        </w:rPr>
        <w:t xml:space="preserve">непредставление документов и сведений, предусмотренных </w:t>
      </w:r>
      <w:hyperlink w:history="0" w:anchor="P4267" w:tooltip="2.4. Для участия в мероприятии гражданин в присутствии законного представителя представляет в сроки, установленные в объявлении, в центр занятости населения заявление об участии в мероприятии по форме, утвержденной Департаментом (далее - заявление), и предъявляет следующие документы:">
        <w:r>
          <w:rPr>
            <w:sz w:val="20"/>
            <w:color w:val="0000ff"/>
          </w:rPr>
          <w:t xml:space="preserve">пунктом 2.4</w:t>
        </w:r>
      </w:hyperlink>
      <w:r>
        <w:rPr>
          <w:sz w:val="20"/>
        </w:rPr>
        <w:t xml:space="preserve"> Порядка;</w:t>
      </w:r>
    </w:p>
    <w:p>
      <w:pPr>
        <w:pStyle w:val="0"/>
        <w:spacing w:before="200" w:line-rule="auto"/>
        <w:ind w:firstLine="540"/>
        <w:jc w:val="both"/>
      </w:pPr>
      <w:r>
        <w:rPr>
          <w:sz w:val="20"/>
        </w:rPr>
        <w:t xml:space="preserve">представление в центр занятости населения недостоверных и (или) неполных сведений и документов;</w:t>
      </w:r>
    </w:p>
    <w:p>
      <w:pPr>
        <w:pStyle w:val="0"/>
        <w:spacing w:before="200" w:line-rule="auto"/>
        <w:ind w:firstLine="540"/>
        <w:jc w:val="both"/>
      </w:pPr>
      <w:r>
        <w:rPr>
          <w:sz w:val="20"/>
        </w:rPr>
        <w:t xml:space="preserve">обращение для прохождения второй раз профобучения при реализации мероприятия;</w:t>
      </w:r>
    </w:p>
    <w:p>
      <w:pPr>
        <w:pStyle w:val="0"/>
        <w:spacing w:before="200" w:line-rule="auto"/>
        <w:ind w:firstLine="540"/>
        <w:jc w:val="both"/>
      </w:pPr>
      <w:r>
        <w:rPr>
          <w:sz w:val="20"/>
        </w:rPr>
        <w:t xml:space="preserve">несоответствие требованиям, указанным в </w:t>
      </w:r>
      <w:hyperlink w:history="0" w:anchor="P4242" w:tooltip="1.4. Участниками мероприятия являются граждане, профессиональные образовательные организации.">
        <w:r>
          <w:rPr>
            <w:sz w:val="20"/>
            <w:color w:val="0000ff"/>
          </w:rPr>
          <w:t xml:space="preserve">пункте 1.4</w:t>
        </w:r>
      </w:hyperlink>
      <w:r>
        <w:rPr>
          <w:sz w:val="20"/>
        </w:rPr>
        <w:t xml:space="preserve"> Порядка.</w:t>
      </w:r>
    </w:p>
    <w:p>
      <w:pPr>
        <w:pStyle w:val="0"/>
        <w:jc w:val="both"/>
      </w:pPr>
      <w:r>
        <w:rPr>
          <w:sz w:val="20"/>
        </w:rPr>
        <w:t xml:space="preserve">(пп. 2.5.8 в ред. </w:t>
      </w:r>
      <w:hyperlink w:history="0" r:id="rId632"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bookmarkStart w:id="4303" w:name="P4303"/>
    <w:bookmarkEnd w:id="4303"/>
    <w:p>
      <w:pPr>
        <w:pStyle w:val="0"/>
        <w:spacing w:before="200" w:line-rule="auto"/>
        <w:ind w:firstLine="540"/>
        <w:jc w:val="both"/>
      </w:pPr>
      <w:r>
        <w:rPr>
          <w:sz w:val="20"/>
        </w:rPr>
        <w:t xml:space="preserve">2.5.9. В случае принятия решения о направлении гражданина на профобучение в течение 1 рабочего дня со дня его принятия вручает лично либо направляет по адресу, указанному в заявлении, гражданину с сопроводительным письмом следующие документы по форме, утвержденной Департаментом:</w:t>
      </w:r>
    </w:p>
    <w:p>
      <w:pPr>
        <w:pStyle w:val="0"/>
        <w:spacing w:before="200" w:line-rule="auto"/>
        <w:ind w:firstLine="540"/>
        <w:jc w:val="both"/>
      </w:pPr>
      <w:r>
        <w:rPr>
          <w:sz w:val="20"/>
        </w:rPr>
        <w:t xml:space="preserve">направление на профобучение;</w:t>
      </w:r>
    </w:p>
    <w:p>
      <w:pPr>
        <w:pStyle w:val="0"/>
        <w:spacing w:before="200" w:line-rule="auto"/>
        <w:ind w:firstLine="540"/>
        <w:jc w:val="both"/>
      </w:pPr>
      <w:r>
        <w:rPr>
          <w:sz w:val="20"/>
        </w:rPr>
        <w:t xml:space="preserve">проект договора об организации профобучения (далее - договор).</w:t>
      </w:r>
    </w:p>
    <w:bookmarkStart w:id="4306" w:name="P4306"/>
    <w:bookmarkEnd w:id="4306"/>
    <w:p>
      <w:pPr>
        <w:pStyle w:val="0"/>
        <w:spacing w:before="200" w:line-rule="auto"/>
        <w:ind w:firstLine="540"/>
        <w:jc w:val="both"/>
      </w:pPr>
      <w:r>
        <w:rPr>
          <w:sz w:val="20"/>
        </w:rPr>
        <w:t xml:space="preserve">2.5.10. Подписанный договор, указанный в </w:t>
      </w:r>
      <w:hyperlink w:history="0" w:anchor="P4303" w:tooltip="2.5.9. В случае принятия решения о направлении гражданина на профобучение в течение 1 рабочего дня со дня его принятия вручает лично либо направляет по адресу, указанному в заявлении, гражданину с сопроводительным письмом следующие документы по форме, утвержденной Департаментом:">
        <w:r>
          <w:rPr>
            <w:sz w:val="20"/>
            <w:color w:val="0000ff"/>
          </w:rPr>
          <w:t xml:space="preserve">подпункте 2.5.9</w:t>
        </w:r>
      </w:hyperlink>
      <w:r>
        <w:rPr>
          <w:sz w:val="20"/>
        </w:rPr>
        <w:t xml:space="preserve"> настоящего пункта Порядка, гражданин либо его законный представитель лично или почтовым отправлением представляет в центр занятости населения не позднее 10 рабочих дней со дня его получения (днем получения договора считается дата, указанная на штампе почтового отделения по месту нахождения гражданина или его законного представителя).</w:t>
      </w:r>
    </w:p>
    <w:p>
      <w:pPr>
        <w:pStyle w:val="0"/>
        <w:spacing w:before="200" w:line-rule="auto"/>
        <w:ind w:firstLine="540"/>
        <w:jc w:val="both"/>
      </w:pPr>
      <w:r>
        <w:rPr>
          <w:sz w:val="20"/>
        </w:rPr>
        <w:t xml:space="preserve">2.6. В случае непредставления подписанного договора в срок, указанный в </w:t>
      </w:r>
      <w:hyperlink w:history="0" w:anchor="P4306" w:tooltip="2.5.10. Подписанный договор, указанный в подпункте 2.5.9 настоящего пункта Порядка, гражданин либо его законный представитель лично или почтовым отправлением представляет в центр занятости населения не позднее 10 рабочих дней со дня его получения (днем получения договора считается дата, указанная на штампе почтового отделения по месту нахождения гражданина или его законного представителя).">
        <w:r>
          <w:rPr>
            <w:sz w:val="20"/>
            <w:color w:val="0000ff"/>
          </w:rPr>
          <w:t xml:space="preserve">пункте 2.5.10</w:t>
        </w:r>
      </w:hyperlink>
      <w:r>
        <w:rPr>
          <w:sz w:val="20"/>
        </w:rPr>
        <w:t xml:space="preserve"> Порядка, гражданин считается отказавшимся от профобучения.</w:t>
      </w:r>
    </w:p>
    <w:p>
      <w:pPr>
        <w:pStyle w:val="0"/>
        <w:spacing w:before="200" w:line-rule="auto"/>
        <w:ind w:firstLine="540"/>
        <w:jc w:val="both"/>
      </w:pPr>
      <w:r>
        <w:rPr>
          <w:sz w:val="20"/>
        </w:rPr>
        <w:t xml:space="preserve">2.7. Для организации профобучения граждан в течение 15 рабочих дней со дня завершения указанного в объявлении срока приема документов, указанных в </w:t>
      </w:r>
      <w:hyperlink w:history="0" w:anchor="P4267" w:tooltip="2.4. Для участия в мероприятии гражданин в присутствии законного представителя представляет в сроки, установленные в объявлении, в центр занятости населения заявление об участии в мероприятии по форме, утвержденной Департаментом (далее - заявление), и предъявляет следующие документы:">
        <w:r>
          <w:rPr>
            <w:sz w:val="20"/>
            <w:color w:val="0000ff"/>
          </w:rPr>
          <w:t xml:space="preserve">пункте 2.4</w:t>
        </w:r>
      </w:hyperlink>
      <w:r>
        <w:rPr>
          <w:sz w:val="20"/>
        </w:rPr>
        <w:t xml:space="preserve"> Порядка, центр занятости населения заключают с профессиональной образовательной организацией договор о совместной деятельности по организации профобучения граждан (далее - договор о совместной деятельности) по форме, утвержденной Департаментом.</w:t>
      </w:r>
    </w:p>
    <w:p>
      <w:pPr>
        <w:pStyle w:val="0"/>
        <w:jc w:val="both"/>
      </w:pPr>
      <w:r>
        <w:rPr>
          <w:sz w:val="20"/>
        </w:rPr>
        <w:t xml:space="preserve">(в ред. </w:t>
      </w:r>
      <w:hyperlink w:history="0" r:id="rId633" w:tooltip="Постановление Правительства ХМАО - Югры от 20.10.2023 N 515-п &quot;О внесении изменений в постановление Правительства Ханты-Мансийского автономного округа - Югры от 24 декабря 2021 года N 578-п &quot;О мерах по реализации государственной программы Ханты-Мансийского автономного округа - Югры &quot;Поддержка занятости населения&quot; {КонсультантПлюс}">
        <w:r>
          <w:rPr>
            <w:sz w:val="20"/>
            <w:color w:val="0000ff"/>
          </w:rPr>
          <w:t xml:space="preserve">постановления</w:t>
        </w:r>
      </w:hyperlink>
      <w:r>
        <w:rPr>
          <w:sz w:val="20"/>
        </w:rPr>
        <w:t xml:space="preserve"> Правительства ХМАО - Югры от 20.10.2023 N 515-п)</w:t>
      </w:r>
    </w:p>
    <w:p>
      <w:pPr>
        <w:pStyle w:val="0"/>
        <w:spacing w:before="200" w:line-rule="auto"/>
        <w:ind w:firstLine="540"/>
        <w:jc w:val="both"/>
      </w:pPr>
      <w:r>
        <w:rPr>
          <w:sz w:val="20"/>
        </w:rPr>
        <w:t xml:space="preserve">2.8. После заключения договора о совместной деятельности профессиональная образовательная организация своим приказом зачисляет граждан на профобучение и в течение 3 рабочих дней со дня зачисления граждан представляет в центр занятости населения сопроводительным письмом копии приказов о зачислении граждан.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24.12.2021 N 578-п</w:t>
            <w:br/>
            <w:t>(ред. от 20.10.2023)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ХМАО - Югры от 24.12.2021 N 578-п</w:t>
            <w:br/>
            <w:t>(ред. от 20.10.2023)</w:t>
            <w:br/>
            <w:t>"О мерах по реализации государственно...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4BED945EF4DDADD9F67CA3B417B5F1CCB8C7A16F067EC61DCBAFA7F80AB0759EA5EDDABEF6D8907DAE53257811B63D4384DAEC1633107419932A0Cc3DBL" TargetMode = "External"/>
	<Relationship Id="rId8" Type="http://schemas.openxmlformats.org/officeDocument/2006/relationships/hyperlink" Target="consultantplus://offline/ref=7C23C2F838E949EF0AB3B3884584E8FFF57A2925F0619FA6FFDFE8FF78526234430F42B16FD2A0B53A21B74C395EB2919CA58CB403CDC5521CC88991d4DCL" TargetMode = "External"/>
	<Relationship Id="rId9" Type="http://schemas.openxmlformats.org/officeDocument/2006/relationships/hyperlink" Target="consultantplus://offline/ref=7C23C2F838E949EF0AB3B3884584E8FFF57A2925F0619DAEFEDFE8FF78526234430F42B16FD2A0B53A21B74C395EB2919CA58CB403CDC5521CC88991d4DCL" TargetMode = "External"/>
	<Relationship Id="rId10" Type="http://schemas.openxmlformats.org/officeDocument/2006/relationships/hyperlink" Target="consultantplus://offline/ref=7C23C2F838E949EF0AB3B3884584E8FFF57A2925F06193AAF0DBE8FF78526234430F42B16FD2A0B53A21B74C395EB2919CA58CB403CDC5521CC88991d4DCL" TargetMode = "External"/>
	<Relationship Id="rId11" Type="http://schemas.openxmlformats.org/officeDocument/2006/relationships/hyperlink" Target="consultantplus://offline/ref=7C23C2F838E949EF0AB3B3884584E8FFF57A2925F06192ADFADDE8FF78526234430F42B16FD2A0B53A21B74C395EB2919CA58CB403CDC5521CC88991d4DCL" TargetMode = "External"/>
	<Relationship Id="rId12" Type="http://schemas.openxmlformats.org/officeDocument/2006/relationships/hyperlink" Target="consultantplus://offline/ref=7C23C2F838E949EF0AB3B3884584E8FFF57A2925F0629EAAF9DBE8FF78526234430F42B16FD2A0B53A21B74E3A5EB2919CA58CB403CDC5521CC88991d4DCL" TargetMode = "External"/>
	<Relationship Id="rId13" Type="http://schemas.openxmlformats.org/officeDocument/2006/relationships/hyperlink" Target="consultantplus://offline/ref=7C23C2F838E949EF0AB3B3884584E8FFF57A2925F0629FA8FADEE8FF78526234430F42B16FD2A0B53A21B74C395EB2919CA58CB403CDC5521CC88991d4DCL" TargetMode = "External"/>
	<Relationship Id="rId14" Type="http://schemas.openxmlformats.org/officeDocument/2006/relationships/hyperlink" Target="consultantplus://offline/ref=7C23C2F838E949EF0AB3B3884584E8FFF57A2925F0629EAEFDDCE8FF78526234430F42B16FD2A0B53A21B74C395EB2919CA58CB403CDC5521CC88991d4DCL" TargetMode = "External"/>
	<Relationship Id="rId15" Type="http://schemas.openxmlformats.org/officeDocument/2006/relationships/hyperlink" Target="consultantplus://offline/ref=7C23C2F838E949EF0AB3B3884584E8FFF57A2925F0629CADFEDBE8FF78526234430F42B16FD2A0B53A21B74C395EB2919CA58CB403CDC5521CC88991d4DCL" TargetMode = "External"/>
	<Relationship Id="rId16" Type="http://schemas.openxmlformats.org/officeDocument/2006/relationships/hyperlink" Target="consultantplus://offline/ref=7C23C2F838E949EF0AB3B3884584E8FFF57A2925F06292A7FCD0E8FF78526234430F42B16FD2A0B53A21B74C395EB2919CA58CB403CDC5521CC88991d4DCL" TargetMode = "External"/>
	<Relationship Id="rId17" Type="http://schemas.openxmlformats.org/officeDocument/2006/relationships/hyperlink" Target="consultantplus://offline/ref=7C23C2F838E949EF0AB3B3884584E8FFF57A2925F06D9AAFF0DAE8FF78526234430F42B16FD2A0B53A21B74D385EB2919CA58CB403CDC5521CC88991d4DCL" TargetMode = "External"/>
	<Relationship Id="rId18" Type="http://schemas.openxmlformats.org/officeDocument/2006/relationships/hyperlink" Target="consultantplus://offline/ref=7C23C2F838E949EF0AB3B3884584E8FFF57A2925F06D9BAEFEDCE8FF78526234430F42B16FD2A0B53A21B74E3B5EB2919CA58CB403CDC5521CC88991d4DCL" TargetMode = "External"/>
	<Relationship Id="rId19" Type="http://schemas.openxmlformats.org/officeDocument/2006/relationships/hyperlink" Target="consultantplus://offline/ref=7C23C2F838E949EF0AB3B3884584E8FFF57A2925F0639FAAFFDDE8FF78526234430F42B16FD2A0B53A21B74C395EB2919CA58CB403CDC5521CC88991d4DCL" TargetMode = "External"/>
	<Relationship Id="rId20" Type="http://schemas.openxmlformats.org/officeDocument/2006/relationships/hyperlink" Target="consultantplus://offline/ref=7C23C2F838E949EF0AB3B3884584E8FFF57A2925F0639EAAFADCE8FF78526234430F42B16FD2A0B53A21B74C395EB2919CA58CB403CDC5521CC88991d4DCL" TargetMode = "External"/>
	<Relationship Id="rId21" Type="http://schemas.openxmlformats.org/officeDocument/2006/relationships/hyperlink" Target="consultantplus://offline/ref=7C23C2F838E949EF0AB3B3884584E8FFF57A2925F0639CA9FDD0E8FF78526234430F42B16FD2A0B53A21B74C395EB2919CA58CB403CDC5521CC88991d4DCL" TargetMode = "External"/>
	<Relationship Id="rId22" Type="http://schemas.openxmlformats.org/officeDocument/2006/relationships/hyperlink" Target="consultantplus://offline/ref=7C23C2F838E949EF0AB3B3884584E8FFF57A2925F06C98ACF0DBE8FF78526234430F42B16FD2A0B53A21B74C395EB2919CA58CB403CDC5521CC88991d4DCL" TargetMode = "External"/>
	<Relationship Id="rId23" Type="http://schemas.openxmlformats.org/officeDocument/2006/relationships/hyperlink" Target="consultantplus://offline/ref=7C23C2F838E949EF0AB3B3884584E8FFF57A2925F06C9FA9FDD0E8FF78526234430F42B16FD2A0B53A21B74C395EB2919CA58CB403CDC5521CC88991d4DCL" TargetMode = "External"/>
	<Relationship Id="rId24" Type="http://schemas.openxmlformats.org/officeDocument/2006/relationships/hyperlink" Target="consultantplus://offline/ref=7C23C2F838E949EF0AB3B3884584E8FFF57A2925F06C93A6FDD0E8FF78526234430F42B16FD2A0B53A21B74C395EB2919CA58CB403CDC5521CC88991d4DCL" TargetMode = "External"/>
	<Relationship Id="rId25" Type="http://schemas.openxmlformats.org/officeDocument/2006/relationships/hyperlink" Target="consultantplus://offline/ref=7C23C2F838E949EF0AB3B3884584E8FFF57A2925F06C92ACFAD8E8FF78526234430F42B16FD2A0B53A21B74C395EB2919CA58CB403CDC5521CC88991d4DCL" TargetMode = "External"/>
	<Relationship Id="rId26" Type="http://schemas.openxmlformats.org/officeDocument/2006/relationships/hyperlink" Target="consultantplus://offline/ref=7C23C2F838E949EF0AB3B3884584E8FFF57A2925F0639DA6F8DFE8FF78526234430F42B17DD2F8B93827A94D3D4BE4C0DAdFD3L" TargetMode = "External"/>
	<Relationship Id="rId27" Type="http://schemas.openxmlformats.org/officeDocument/2006/relationships/hyperlink" Target="consultantplus://offline/ref=7C23C2F838E949EF0AB3B3884584E8FFF57A2925F0639EABF8DAE8FF78526234430F42B17DD2F8B93827A94D3D4BE4C0DAdFD3L" TargetMode = "External"/>
	<Relationship Id="rId28" Type="http://schemas.openxmlformats.org/officeDocument/2006/relationships/hyperlink" Target="consultantplus://offline/ref=7C23C2F838E949EF0AB3B3884584E8FFF57A2925F06C9BACF1D1E8FF78526234430F42B16FD2A0B7382AE31D7800EBC2DEEE80B71BD1C451d0D1L" TargetMode = "External"/>
	<Relationship Id="rId29" Type="http://schemas.openxmlformats.org/officeDocument/2006/relationships/hyperlink" Target="consultantplus://offline/ref=7C23C2F838E949EF0AB3B3884584E8FFF57A2925F06C92AEF0D1E8FF78526234430F42B17DD2F8B93827A94D3D4BE4C0DAdFD3L" TargetMode = "External"/>
	<Relationship Id="rId30" Type="http://schemas.openxmlformats.org/officeDocument/2006/relationships/hyperlink" Target="consultantplus://offline/ref=7C23C2F838E949EF0AB3B3884584E8FFF57A2925F0639EAAFADCE8FF78526234430F42B16FD2A0B53A21B74C395EB2919CA58CB403CDC5521CC88991d4DCL" TargetMode = "External"/>
	<Relationship Id="rId31" Type="http://schemas.openxmlformats.org/officeDocument/2006/relationships/hyperlink" Target="consultantplus://offline/ref=7C23C2F838E949EF0AB3B3884584E8FFF57A2925F0639EAAFADCE8FF78526234430F42B16FD2A0B53A21B74C395EB2919CA58CB403CDC5521CC88991d4DCL" TargetMode = "External"/>
	<Relationship Id="rId32" Type="http://schemas.openxmlformats.org/officeDocument/2006/relationships/hyperlink" Target="consultantplus://offline/ref=7C23C2F838E949EF0AB3B3884584E8FFF57A2925F0639EAAFADCE8FF78526234430F42B16FD2A0B53A21B74C395EB2919CA58CB403CDC5521CC88991d4DCL" TargetMode = "External"/>
	<Relationship Id="rId33" Type="http://schemas.openxmlformats.org/officeDocument/2006/relationships/hyperlink" Target="consultantplus://offline/ref=7C23C2F838E949EF0AB3B3884584E8FFF57A2925F06D9AAFF0DAE8FF78526234430F42B16FD2A0B53A21B74D385EB2919CA58CB403CDC5521CC88991d4DCL" TargetMode = "External"/>
	<Relationship Id="rId34" Type="http://schemas.openxmlformats.org/officeDocument/2006/relationships/hyperlink" Target="consultantplus://offline/ref=7C23C2F838E949EF0AB3B3884584E8FFF57A2925F0619FA6FFDFE8FF78526234430F42B16FD2A0B53A21B74C3A5EB2919CA58CB403CDC5521CC88991d4DCL" TargetMode = "External"/>
	<Relationship Id="rId35" Type="http://schemas.openxmlformats.org/officeDocument/2006/relationships/hyperlink" Target="consultantplus://offline/ref=7C23C2F838E949EF0AB3B3884584E8FFF57A2925F0629FA8FADEE8FF78526234430F42B16FD2A0B53A21B74C3A5EB2919CA58CB403CDC5521CC88991d4DCL" TargetMode = "External"/>
	<Relationship Id="rId36" Type="http://schemas.openxmlformats.org/officeDocument/2006/relationships/hyperlink" Target="consultantplus://offline/ref=7C23C2F838E949EF0AB3B3884584E8FFF57A2925F06C92ACFAD8E8FF78526234430F42B16FD2A0B53A21B74C3A5EB2919CA58CB403CDC5521CC88991d4DCL" TargetMode = "External"/>
	<Relationship Id="rId37" Type="http://schemas.openxmlformats.org/officeDocument/2006/relationships/hyperlink" Target="consultantplus://offline/ref=7C23C2F838E949EF0AB3B3884584E8FFF57A2925F06C92AEF0D1E8FF78526234430F42B16FD2A0B53A21B74D3E5EB2919CA58CB403CDC5521CC88991d4DCL" TargetMode = "External"/>
	<Relationship Id="rId38" Type="http://schemas.openxmlformats.org/officeDocument/2006/relationships/hyperlink" Target="consultantplus://offline/ref=7C23C2F838E949EF0AB3B3884584E8FFF57A2925F0609EA8FDD1E8FF78526234430F42B17DD2F8B93827A94D3D4BE4C0DAdFD3L" TargetMode = "External"/>
	<Relationship Id="rId39" Type="http://schemas.openxmlformats.org/officeDocument/2006/relationships/hyperlink" Target="consultantplus://offline/ref=7C23C2F838E949EF0AB3B3884584E8FFF57A2925F36C9DA9FED9E8FF78526234430F42B17DD2F8B93827A94D3D4BE4C0DAdFD3L" TargetMode = "External"/>
	<Relationship Id="rId40" Type="http://schemas.openxmlformats.org/officeDocument/2006/relationships/hyperlink" Target="consultantplus://offline/ref=7C23C2F838E949EF0AB3B3884584E8FFF57A2925F36C92A6F9D0E8FF78526234430F42B17DD2F8B93827A94D3D4BE4C0DAdFD3L" TargetMode = "External"/>
	<Relationship Id="rId41" Type="http://schemas.openxmlformats.org/officeDocument/2006/relationships/hyperlink" Target="consultantplus://offline/ref=7C23C2F838E949EF0AB3B3884584E8FFF57A2925F36D9BA8FCD1E8FF78526234430F42B17DD2F8B93827A94D3D4BE4C0DAdFD3L" TargetMode = "External"/>
	<Relationship Id="rId42" Type="http://schemas.openxmlformats.org/officeDocument/2006/relationships/hyperlink" Target="consultantplus://offline/ref=7C23C2F838E949EF0AB3B3884584E8FFF57A2925F36D98AFFCD0E8FF78526234430F42B17DD2F8B93827A94D3D4BE4C0DAdFD3L" TargetMode = "External"/>
	<Relationship Id="rId43" Type="http://schemas.openxmlformats.org/officeDocument/2006/relationships/hyperlink" Target="consultantplus://offline/ref=7C23C2F838E949EF0AB3B3884584E8FFF57A2925F36D9DADFDDAE8FF78526234430F42B17DD2F8B93827A94D3D4BE4C0DAdFD3L" TargetMode = "External"/>
	<Relationship Id="rId44" Type="http://schemas.openxmlformats.org/officeDocument/2006/relationships/hyperlink" Target="consultantplus://offline/ref=7C23C2F838E949EF0AB3B3884584E8FFF57A2925F36D9CAEFEDBE8FF78526234430F42B17DD2F8B93827A94D3D4BE4C0DAdFD3L" TargetMode = "External"/>
	<Relationship Id="rId45" Type="http://schemas.openxmlformats.org/officeDocument/2006/relationships/hyperlink" Target="consultantplus://offline/ref=7C23C2F838E949EF0AB3B3884584E8FFF57A2925F36D92AAF0DAE8FF78526234430F42B17DD2F8B93827A94D3D4BE4C0DAdFD3L" TargetMode = "External"/>
	<Relationship Id="rId46" Type="http://schemas.openxmlformats.org/officeDocument/2006/relationships/hyperlink" Target="consultantplus://offline/ref=7C23C2F838E949EF0AB3B3884584E8FFF57A2925F36D92A7F1D9E8FF78526234430F42B17DD2F8B93827A94D3D4BE4C0DAdFD3L" TargetMode = "External"/>
	<Relationship Id="rId47" Type="http://schemas.openxmlformats.org/officeDocument/2006/relationships/hyperlink" Target="consultantplus://offline/ref=7C23C2F838E949EF0AB3B3884584E8FFF57A2925F06499ABF9DDE8FF78526234430F42B17DD2F8B93827A94D3D4BE4C0DAdFD3L" TargetMode = "External"/>
	<Relationship Id="rId48" Type="http://schemas.openxmlformats.org/officeDocument/2006/relationships/hyperlink" Target="consultantplus://offline/ref=7C23C2F838E949EF0AB3B3884584E8FFF57A2925F06498ADF8D0E8FF78526234430F42B17DD2F8B93827A94D3D4BE4C0DAdFD3L" TargetMode = "External"/>
	<Relationship Id="rId49" Type="http://schemas.openxmlformats.org/officeDocument/2006/relationships/hyperlink" Target="consultantplus://offline/ref=7C23C2F838E949EF0AB3B3884584E8FFF57A2925F0649EAFF1D1E8FF78526234430F42B17DD2F8B93827A94D3D4BE4C0DAdFD3L" TargetMode = "External"/>
	<Relationship Id="rId50" Type="http://schemas.openxmlformats.org/officeDocument/2006/relationships/hyperlink" Target="consultantplus://offline/ref=7C23C2F838E949EF0AB3B3884584E8FFF57A2925F06493A6FDDDE8FF78526234430F42B17DD2F8B93827A94D3D4BE4C0DAdFD3L" TargetMode = "External"/>
	<Relationship Id="rId51" Type="http://schemas.openxmlformats.org/officeDocument/2006/relationships/hyperlink" Target="consultantplus://offline/ref=7C23C2F838E949EF0AB3B3884584E8FFF57A2925F0659BAEF0DAE8FF78526234430F42B17DD2F8B93827A94D3D4BE4C0DAdFD3L" TargetMode = "External"/>
	<Relationship Id="rId52" Type="http://schemas.openxmlformats.org/officeDocument/2006/relationships/hyperlink" Target="consultantplus://offline/ref=7C23C2F838E949EF0AB3B3884584E8FFF57A2925F0659AAEF1DCE8FF78526234430F42B17DD2F8B93827A94D3D4BE4C0DAdFD3L" TargetMode = "External"/>
	<Relationship Id="rId53" Type="http://schemas.openxmlformats.org/officeDocument/2006/relationships/hyperlink" Target="consultantplus://offline/ref=7C23C2F838E949EF0AB3B3884584E8FFF57A2925F06598AEFDDCE8FF78526234430F42B17DD2F8B93827A94D3D4BE4C0DAdFD3L" TargetMode = "External"/>
	<Relationship Id="rId54" Type="http://schemas.openxmlformats.org/officeDocument/2006/relationships/hyperlink" Target="consultantplus://offline/ref=7C23C2F838E949EF0AB3B3884584E8FFF57A2925F0659EABF1D0E8FF78526234430F42B17DD2F8B93827A94D3D4BE4C0DAdFD3L" TargetMode = "External"/>
	<Relationship Id="rId55" Type="http://schemas.openxmlformats.org/officeDocument/2006/relationships/hyperlink" Target="consultantplus://offline/ref=7C23C2F838E949EF0AB3B3884584E8FFF57A2925F0659EA6F9DBE8FF78526234430F42B17DD2F8B93827A94D3D4BE4C0DAdFD3L" TargetMode = "External"/>
	<Relationship Id="rId56" Type="http://schemas.openxmlformats.org/officeDocument/2006/relationships/hyperlink" Target="consultantplus://offline/ref=7C23C2F838E949EF0AB3B3884584E8FFF57A2925F0659CABF9D1E8FF78526234430F42B17DD2F8B93827A94D3D4BE4C0DAdFD3L" TargetMode = "External"/>
	<Relationship Id="rId57" Type="http://schemas.openxmlformats.org/officeDocument/2006/relationships/hyperlink" Target="consultantplus://offline/ref=7C23C2F838E949EF0AB3B3884584E8FFF57A2925F06592A9F8DEE8FF78526234430F42B17DD2F8B93827A94D3D4BE4C0DAdFD3L" TargetMode = "External"/>
	<Relationship Id="rId58" Type="http://schemas.openxmlformats.org/officeDocument/2006/relationships/hyperlink" Target="consultantplus://offline/ref=7C23C2F838E949EF0AB3B3884584E8FFF57A2925F06698AAFBD1E8FF78526234430F42B17DD2F8B93827A94D3D4BE4C0DAdFD3L" TargetMode = "External"/>
	<Relationship Id="rId59" Type="http://schemas.openxmlformats.org/officeDocument/2006/relationships/hyperlink" Target="consultantplus://offline/ref=7C23C2F838E949EF0AB3B3884584E8FFF57A2925F06698A7FBD8E8FF78526234430F42B17DD2F8B93827A94D3D4BE4C0DAdFD3L" TargetMode = "External"/>
	<Relationship Id="rId60" Type="http://schemas.openxmlformats.org/officeDocument/2006/relationships/hyperlink" Target="consultantplus://offline/ref=7C23C2F838E949EF0AB3B3884584E8FFF57A2925F0669FA9FBDDE8FF78526234430F42B17DD2F8B93827A94D3D4BE4C0DAdFD3L" TargetMode = "External"/>
	<Relationship Id="rId61" Type="http://schemas.openxmlformats.org/officeDocument/2006/relationships/hyperlink" Target="consultantplus://offline/ref=7C23C2F838E949EF0AB3B3884584E8FFF57A2925F0669EABFED8E8FF78526234430F42B17DD2F8B93827A94D3D4BE4C0DAdFD3L" TargetMode = "External"/>
	<Relationship Id="rId62" Type="http://schemas.openxmlformats.org/officeDocument/2006/relationships/hyperlink" Target="consultantplus://offline/ref=7C23C2F838E949EF0AB3B3884584E8FFF57A2925F06693AEF1DDE8FF78526234430F42B17DD2F8B93827A94D3D4BE4C0DAdFD3L" TargetMode = "External"/>
	<Relationship Id="rId63" Type="http://schemas.openxmlformats.org/officeDocument/2006/relationships/hyperlink" Target="consultantplus://offline/ref=7C23C2F838E949EF0AB3B3884584E8FFF57A2925F0679BA7FEDAE8FF78526234430F42B17DD2F8B93827A94D3D4BE4C0DAdFD3L" TargetMode = "External"/>
	<Relationship Id="rId64" Type="http://schemas.openxmlformats.org/officeDocument/2006/relationships/hyperlink" Target="consultantplus://offline/ref=7C23C2F838E949EF0AB3B3884584E8FFF57A2925F0679AAAFDDEE8FF78526234430F42B17DD2F8B93827A94D3D4BE4C0DAdFD3L" TargetMode = "External"/>
	<Relationship Id="rId65" Type="http://schemas.openxmlformats.org/officeDocument/2006/relationships/hyperlink" Target="consultantplus://offline/ref=7C23C2F838E949EF0AB3B3884584E8FFF57A2925F0679CAFFFDAE8FF78526234430F42B17DD2F8B93827A94D3D4BE4C0DAdFD3L" TargetMode = "External"/>
	<Relationship Id="rId66" Type="http://schemas.openxmlformats.org/officeDocument/2006/relationships/hyperlink" Target="consultantplus://offline/ref=7C23C2F838E949EF0AB3B3884584E8FFF57A2925F0609AABFDDAE8FF78526234430F42B17DD2F8B93827A94D3D4BE4C0DAdFD3L" TargetMode = "External"/>
	<Relationship Id="rId67" Type="http://schemas.openxmlformats.org/officeDocument/2006/relationships/hyperlink" Target="consultantplus://offline/ref=7C23C2F838E949EF0AB3B3884584E8FFF57A2925F0609EADF0D9E8FF78526234430F42B17DD2F8B93827A94D3D4BE4C0DAdFD3L" TargetMode = "External"/>
	<Relationship Id="rId68" Type="http://schemas.openxmlformats.org/officeDocument/2006/relationships/hyperlink" Target="consultantplus://offline/ref=7C23C2F838E949EF0AB3B3884584E8FFF57A2925F0619FA6FFDFE8FF78526234430F42B16FD2A0B53A21B74C345EB2919CA58CB403CDC5521CC88991d4DCL" TargetMode = "External"/>
	<Relationship Id="rId69" Type="http://schemas.openxmlformats.org/officeDocument/2006/relationships/hyperlink" Target="consultantplus://offline/ref=7C23C2F838E949EF0AB3B3884584E8FFF57A2925F06193AAF0DBE8FF78526234430F42B16FD2A0B53A21B74C3A5EB2919CA58CB403CDC5521CC88991d4DCL" TargetMode = "External"/>
	<Relationship Id="rId70" Type="http://schemas.openxmlformats.org/officeDocument/2006/relationships/hyperlink" Target="consultantplus://offline/ref=7C23C2F838E949EF0AB3B3884584E8FFF57A2925F0629EAEFDDCE8FF78526234430F42B16FD2A0B53A21B74C3A5EB2919CA58CB403CDC5521CC88991d4DCL" TargetMode = "External"/>
	<Relationship Id="rId71" Type="http://schemas.openxmlformats.org/officeDocument/2006/relationships/hyperlink" Target="consultantplus://offline/ref=7C23C2F838E949EF0AB3B3884584E8FFF57A2925F06C98ACF0DBE8FF78526234430F42B16FD2A0B53A21B74C3A5EB2919CA58CB403CDC5521CC88991d4DCL" TargetMode = "External"/>
	<Relationship Id="rId72" Type="http://schemas.openxmlformats.org/officeDocument/2006/relationships/hyperlink" Target="consultantplus://offline/ref=7C23C2F838E949EF0AB3B3884584E8FFF57A2925F0609EA8FDD1E8FF78526234430F42B16FD2A0B53923B6476804A295D5F287A804D2DA5102C8d8DAL" TargetMode = "External"/>
	<Relationship Id="rId73" Type="http://schemas.openxmlformats.org/officeDocument/2006/relationships/hyperlink" Target="consultantplus://offline/ref=7C23C2F838E949EF0AB3B3884584E8FFF57A2925F06C92AEF0D1E8FF78526234430F42B16FD2A0B53A20B64E3E5EB2919CA58CB403CDC5521CC88991d4DCL" TargetMode = "External"/>
	<Relationship Id="rId74" Type="http://schemas.openxmlformats.org/officeDocument/2006/relationships/hyperlink" Target="consultantplus://offline/ref=7C23C2F838E949EF0AB3AD8553E8BFF0F773732BF36790F9A48DEEA827026461034F44E42C96ADB0392AE31D7800EBC2DEEE80B71BD1C451d0D1L" TargetMode = "External"/>
	<Relationship Id="rId75" Type="http://schemas.openxmlformats.org/officeDocument/2006/relationships/hyperlink" Target="consultantplus://offline/ref=7C23C2F838E949EF0AB3B3884584E8FFF57A2925F0619FA6FFDFE8FF78526234430F42B16FD2A0B53A21B74C355EB2919CA58CB403CDC5521CC88991d4DCL" TargetMode = "External"/>
	<Relationship Id="rId76" Type="http://schemas.openxmlformats.org/officeDocument/2006/relationships/hyperlink" Target="consultantplus://offline/ref=7C23C2F838E949EF0AB3AD8553E8BFF0F772702CF26D90F9A48DEEA827026461034F44E42C97ADB6322AE31D7800EBC2DEEE80B71BD1C451d0D1L" TargetMode = "External"/>
	<Relationship Id="rId77" Type="http://schemas.openxmlformats.org/officeDocument/2006/relationships/hyperlink" Target="consultantplus://offline/ref=7C23C2F838E949EF0AB3AD8553E8BFF0F274772CF46190F9A48DEEA827026461034F44E42C96AFB6392AE31D7800EBC2DEEE80B71BD1C451d0D1L" TargetMode = "External"/>
	<Relationship Id="rId78" Type="http://schemas.openxmlformats.org/officeDocument/2006/relationships/hyperlink" Target="consultantplus://offline/ref=7C23C2F838E949EF0AB3AD8553E8BFF0F775772CF56C90F9A48DEEA827026461034F44E42C96ADB53F2AE31D7800EBC2DEEE80B71BD1C451d0D1L" TargetMode = "External"/>
	<Relationship Id="rId79" Type="http://schemas.openxmlformats.org/officeDocument/2006/relationships/hyperlink" Target="consultantplus://offline/ref=7C23C2F838E949EF0AB3AD8553E8BFF0F772702CF26D90F9A48DEEA827026461114F1CE82E90B3B53B3FB54C3Ed5D6L" TargetMode = "External"/>
	<Relationship Id="rId80" Type="http://schemas.openxmlformats.org/officeDocument/2006/relationships/hyperlink" Target="consultantplus://offline/ref=7C23C2F838E949EF0AB3AD8553E8BFF0F7727621F76790F9A48DEEA827026461114F1CE82E90B3B53B3FB54C3Ed5D6L" TargetMode = "External"/>
	<Relationship Id="rId81" Type="http://schemas.openxmlformats.org/officeDocument/2006/relationships/hyperlink" Target="consultantplus://offline/ref=7C23C2F838E949EF0AB3B3884584E8FFF57A2925F06C9BAAFDD8E8FF78526234430F42B17DD2F8B93827A94D3D4BE4C0DAdFD3L" TargetMode = "External"/>
	<Relationship Id="rId82" Type="http://schemas.openxmlformats.org/officeDocument/2006/relationships/hyperlink" Target="consultantplus://offline/ref=7C23C2F838E949EF0AB3AD8553E8BFF0F7777620F16D90F9A48DEEA827026461114F1CE82E90B3B53B3FB54C3Ed5D6L" TargetMode = "External"/>
	<Relationship Id="rId83" Type="http://schemas.openxmlformats.org/officeDocument/2006/relationships/hyperlink" Target="consultantplus://offline/ref=7C23C2F838E949EF0AB3AD8553E8BFF0F7777620F16D90F9A48DEEA827026461114F1CE82E90B3B53B3FB54C3Ed5D6L" TargetMode = "External"/>
	<Relationship Id="rId84" Type="http://schemas.openxmlformats.org/officeDocument/2006/relationships/hyperlink" Target="consultantplus://offline/ref=7C23C2F838E949EF0AB3B3884584E8FFF57A2925F06C93ADFCD0E8FF78526234430F42B17DD2F8B93827A94D3D4BE4C0DAdFD3L" TargetMode = "External"/>
	<Relationship Id="rId85" Type="http://schemas.openxmlformats.org/officeDocument/2006/relationships/hyperlink" Target="consultantplus://offline/ref=7C23C2F838E949EF0AB3AD8553E8BFF0F774752FF46090F9A48DEEA827026461114F1CE82E90B3B53B3FB54C3Ed5D6L" TargetMode = "External"/>
	<Relationship Id="rId86" Type="http://schemas.openxmlformats.org/officeDocument/2006/relationships/hyperlink" Target="consultantplus://offline/ref=7C23C2F838E949EF0AB3B3884584E8FFF57A2925F0619FA6FFDFE8FF78526234430F42B16FD2A0B53A21B74C355EB2919CA58CB403CDC5521CC88991d4DCL" TargetMode = "External"/>
	<Relationship Id="rId87" Type="http://schemas.openxmlformats.org/officeDocument/2006/relationships/header" Target="header2.xml"/>
	<Relationship Id="rId88" Type="http://schemas.openxmlformats.org/officeDocument/2006/relationships/footer" Target="footer2.xml"/>
	<Relationship Id="rId89" Type="http://schemas.openxmlformats.org/officeDocument/2006/relationships/hyperlink" Target="consultantplus://offline/ref=7C23C2F838E949EF0AB3B3884584E8FFF57A2925F0619FA6FFDFE8FF78526234430F42B16FD2A0B53A21B74C355EB2919CA58CB403CDC5521CC88991d4DCL" TargetMode = "External"/>
	<Relationship Id="rId90" Type="http://schemas.openxmlformats.org/officeDocument/2006/relationships/hyperlink" Target="consultantplus://offline/ref=7C23C2F838E949EF0AB3B3884584E8FFF57A2925F0619FA6FFDFE8FF78526234430F42B16FD2A0B53A21B74C355EB2919CA58CB403CDC5521CC88991d4DCL" TargetMode = "External"/>
	<Relationship Id="rId91" Type="http://schemas.openxmlformats.org/officeDocument/2006/relationships/hyperlink" Target="consultantplus://offline/ref=7C23C2F838E949EF0AB3B3884584E8FFF57A2925F0619FA6FFDFE8FF78526234430F42B16FD2A0B53A21B74C355EB2919CA58CB403CDC5521CC88991d4DCL" TargetMode = "External"/>
	<Relationship Id="rId92" Type="http://schemas.openxmlformats.org/officeDocument/2006/relationships/hyperlink" Target="consultantplus://offline/ref=7C23C2F838E949EF0AB3B3884584E8FFF57A2925F0619FA6FFDFE8FF78526234430F42B16FD2A0B53A21B74C355EB2919CA58CB403CDC5521CC88991d4DCL" TargetMode = "External"/>
	<Relationship Id="rId93" Type="http://schemas.openxmlformats.org/officeDocument/2006/relationships/hyperlink" Target="consultantplus://offline/ref=7C23C2F838E949EF0AB3B3884584E8FFF57A2925F0619FA6FFDFE8FF78526234430F42B16FD2A0B53A21B74C355EB2919CA58CB403CDC5521CC88991d4DCL" TargetMode = "External"/>
	<Relationship Id="rId94" Type="http://schemas.openxmlformats.org/officeDocument/2006/relationships/hyperlink" Target="consultantplus://offline/ref=7C23C2F838E949EF0AB3B3884584E8FFF57A2925F0619FA6FFDFE8FF78526234430F42B16FD2A0B53A21B74C355EB2919CA58CB403CDC5521CC88991d4DCL" TargetMode = "External"/>
	<Relationship Id="rId95" Type="http://schemas.openxmlformats.org/officeDocument/2006/relationships/hyperlink" Target="consultantplus://offline/ref=7C23C2F838E949EF0AB3B3884584E8FFF57A2925F0619FA6FFDFE8FF78526234430F42B16FD2A0B53A21B74C355EB2919CA58CB403CDC5521CC88991d4DCL" TargetMode = "External"/>
	<Relationship Id="rId96" Type="http://schemas.openxmlformats.org/officeDocument/2006/relationships/hyperlink" Target="consultantplus://offline/ref=7C23C2F838E949EF0AB3B3884584E8FFF57A2925F0619FA6FFDFE8FF78526234430F42B16FD2A0B53A21B74C355EB2919CA58CB403CDC5521CC88991d4DCL" TargetMode = "External"/>
	<Relationship Id="rId97" Type="http://schemas.openxmlformats.org/officeDocument/2006/relationships/hyperlink" Target="consultantplus://offline/ref=7C23C2F838E949EF0AB3B3884584E8FFF57A2925F0619FA6FFDFE8FF78526234430F42B16FD2A0B53A21B74C355EB2919CA58CB403CDC5521CC88991d4DCL" TargetMode = "External"/>
	<Relationship Id="rId98" Type="http://schemas.openxmlformats.org/officeDocument/2006/relationships/hyperlink" Target="consultantplus://offline/ref=7C23C2F838E949EF0AB3B3884584E8FFF57A2925F0619FA6FFDFE8FF78526234430F42B16FD2A0B53A21B74C355EB2919CA58CB403CDC5521CC88991d4DCL" TargetMode = "External"/>
	<Relationship Id="rId99" Type="http://schemas.openxmlformats.org/officeDocument/2006/relationships/hyperlink" Target="consultantplus://offline/ref=7C23C2F838E949EF0AB3B3884584E8FFF57A2925F0619FA6FFDFE8FF78526234430F42B16FD2A0B53A21B74D3D5EB2919CA58CB403CDC5521CC88991d4DCL" TargetMode = "External"/>
	<Relationship Id="rId100" Type="http://schemas.openxmlformats.org/officeDocument/2006/relationships/hyperlink" Target="consultantplus://offline/ref=7C23C2F838E949EF0AB3B3884584E8FFF57A2925F06193AAF0DBE8FF78526234430F42B16FD2A0B53A21B74C3A5EB2919CA58CB403CDC5521CC88991d4DCL" TargetMode = "External"/>
	<Relationship Id="rId101" Type="http://schemas.openxmlformats.org/officeDocument/2006/relationships/hyperlink" Target="consultantplus://offline/ref=7C23C2F838E949EF0AB3B3884584E8FFF57A2925F0629EAEFDDCE8FF78526234430F42B16FD2A0B53A21B74C3A5EB2919CA58CB403CDC5521CC88991d4DCL" TargetMode = "External"/>
	<Relationship Id="rId102" Type="http://schemas.openxmlformats.org/officeDocument/2006/relationships/hyperlink" Target="consultantplus://offline/ref=7C23C2F838E949EF0AB3B3884584E8FFF57A2925F06C98ACF0DBE8FF78526234430F42B16FD2A0B53A21B74C3A5EB2919CA58CB403CDC5521CC88991d4DCL" TargetMode = "External"/>
	<Relationship Id="rId103" Type="http://schemas.openxmlformats.org/officeDocument/2006/relationships/hyperlink" Target="consultantplus://offline/ref=7C23C2F838E949EF0AB3B3884584E8FFF57A2925F06193AAF0DBE8FF78526234430F42B16FD2A0B53A21B74C3A5EB2919CA58CB403CDC5521CC88991d4DCL" TargetMode = "External"/>
	<Relationship Id="rId104" Type="http://schemas.openxmlformats.org/officeDocument/2006/relationships/hyperlink" Target="consultantplus://offline/ref=7C23C2F838E949EF0AB3AD8553E8BFF0F079712BF16390F9A48DEEA827026461114F1CE82E90B3B53B3FB54C3Ed5D6L" TargetMode = "External"/>
	<Relationship Id="rId105" Type="http://schemas.openxmlformats.org/officeDocument/2006/relationships/hyperlink" Target="consultantplus://offline/ref=7C23C2F838E949EF0AB3B3884584E8FFF57A2925F0619FA6FFDFE8FF78526234430F42B16FD2A0B53A21B74D3D5EB2919CA58CB403CDC5521CC88991d4DCL" TargetMode = "External"/>
	<Relationship Id="rId106" Type="http://schemas.openxmlformats.org/officeDocument/2006/relationships/hyperlink" Target="consultantplus://offline/ref=7C23C2F838E949EF0AB3AD8553E8BFF0F775742FFB6390F9A48DEEA827026461114F1CE82E90B3B53B3FB54C3Ed5D6L" TargetMode = "External"/>
	<Relationship Id="rId107" Type="http://schemas.openxmlformats.org/officeDocument/2006/relationships/hyperlink" Target="consultantplus://offline/ref=7C23C2F838E949EF0AB3AD8553E8BFF0F775742FFB6390F9A48DEEA827026461114F1CE82E90B3B53B3FB54C3Ed5D6L" TargetMode = "External"/>
	<Relationship Id="rId108" Type="http://schemas.openxmlformats.org/officeDocument/2006/relationships/hyperlink" Target="consultantplus://offline/ref=7C23C2F838E949EF0AB3B3884584E8FFF57A2925F06C98ACF0DBE8FF78526234430F42B16FD2A0B53A21B74C345EB2919CA58CB403CDC5521CC88991d4DCL" TargetMode = "External"/>
	<Relationship Id="rId109" Type="http://schemas.openxmlformats.org/officeDocument/2006/relationships/hyperlink" Target="consultantplus://offline/ref=7C23C2F838E949EF0AB3B3884584E8FFF57A2925F0629EAEFDDCE8FF78526234430F42B16FD2A0B53A21B74C345EB2919CA58CB403CDC5521CC88991d4DCL" TargetMode = "External"/>
	<Relationship Id="rId110" Type="http://schemas.openxmlformats.org/officeDocument/2006/relationships/hyperlink" Target="consultantplus://offline/ref=7C23C2F838E949EF0AB3AD8553E8BFF0F077772FF66090F9A48DEEA827026461034F44E42C96ADB5322AE31D7800EBC2DEEE80B71BD1C451d0D1L" TargetMode = "External"/>
	<Relationship Id="rId111" Type="http://schemas.openxmlformats.org/officeDocument/2006/relationships/hyperlink" Target="consultantplus://offline/ref=7C23C2F838E949EF0AB3AD8553E8BFF0F775742FFB6390F9A48DEEA827026461114F1CE82E90B3B53B3FB54C3Ed5D6L" TargetMode = "External"/>
	<Relationship Id="rId112" Type="http://schemas.openxmlformats.org/officeDocument/2006/relationships/hyperlink" Target="consultantplus://offline/ref=7C23C2F838E949EF0AB3AD8553E8BFF0F773732BF36590F9A48DEEA827026461114F1CE82E90B3B53B3FB54C3Ed5D6L" TargetMode = "External"/>
	<Relationship Id="rId113" Type="http://schemas.openxmlformats.org/officeDocument/2006/relationships/hyperlink" Target="consultantplus://offline/ref=7C23C2F838E949EF0AB3B3884584E8FFF57A2925F06C98ACF0DBE8FF78526234430F42B16FD2A0B53A21B74C355EB2919CA58CB403CDC5521CC88991d4DCL" TargetMode = "External"/>
	<Relationship Id="rId114" Type="http://schemas.openxmlformats.org/officeDocument/2006/relationships/hyperlink" Target="consultantplus://offline/ref=7C23C2F838E949EF0AB3B3884584E8FFF57A2925F0629EAEFDDCE8FF78526234430F42B16FD2A0B53A21B74D3F5EB2919CA58CB403CDC5521CC88991d4DCL" TargetMode = "External"/>
	<Relationship Id="rId115" Type="http://schemas.openxmlformats.org/officeDocument/2006/relationships/hyperlink" Target="consultantplus://offline/ref=7C23C2F838E949EF0AB3AD8553E8BFF0F775742FFB6390F9A48DEEA827026461114F1CE82E90B3B53B3FB54C3Ed5D6L" TargetMode = "External"/>
	<Relationship Id="rId116" Type="http://schemas.openxmlformats.org/officeDocument/2006/relationships/hyperlink" Target="consultantplus://offline/ref=7C23C2F838E949EF0AB3B3884584E8FFF57A2925F06193AAF0DBE8FF78526234430F42B16FD2A0B53A21B74C3A5EB2919CA58CB403CDC5521CC88991d4DCL" TargetMode = "External"/>
	<Relationship Id="rId117" Type="http://schemas.openxmlformats.org/officeDocument/2006/relationships/hyperlink" Target="consultantplus://offline/ref=7C23C2F838E949EF0AB3B3884584E8FFF57A2925F0629EAEFDDCE8FF78526234430F42B16FD2A0B53A21B74D355EB2919CA58CB403CDC5521CC88991d4DCL" TargetMode = "External"/>
	<Relationship Id="rId118" Type="http://schemas.openxmlformats.org/officeDocument/2006/relationships/hyperlink" Target="consultantplus://offline/ref=7C23C2F838E949EF0AB3B3884584E8FFF57A2925F0629EAEFDDCE8FF78526234430F42B16FD2A0B53A21B74E3C5EB2919CA58CB403CDC5521CC88991d4DCL" TargetMode = "External"/>
	<Relationship Id="rId119" Type="http://schemas.openxmlformats.org/officeDocument/2006/relationships/hyperlink" Target="consultantplus://offline/ref=7C23C2F838E949EF0AB3B3884584E8FFF57A2925F0629EAEFDDCE8FF78526234430F42B16FD2A0B53A21B74E3E5EB2919CA58CB403CDC5521CC88991d4DCL" TargetMode = "External"/>
	<Relationship Id="rId120" Type="http://schemas.openxmlformats.org/officeDocument/2006/relationships/hyperlink" Target="consultantplus://offline/ref=7C23C2F838E949EF0AB3B3884584E8FFF57A2925F0629EAEFDDCE8FF78526234430F42B16FD2A0B53A21B74E3F5EB2919CA58CB403CDC5521CC88991d4DCL" TargetMode = "External"/>
	<Relationship Id="rId121" Type="http://schemas.openxmlformats.org/officeDocument/2006/relationships/hyperlink" Target="consultantplus://offline/ref=7C23C2F838E949EF0AB3B3884584E8FFF57A2925F0629EAEFDDCE8FF78526234430F42B16FD2A0B53A21B74E385EB2919CA58CB403CDC5521CC88991d4DCL" TargetMode = "External"/>
	<Relationship Id="rId122" Type="http://schemas.openxmlformats.org/officeDocument/2006/relationships/hyperlink" Target="consultantplus://offline/ref=7C23C2F838E949EF0AB3B3884584E8FFF57A2925F06C98ACF0DBE8FF78526234430F42B16FD2A0B53A21B74D3D5EB2919CA58CB403CDC5521CC88991d4DCL" TargetMode = "External"/>
	<Relationship Id="rId123" Type="http://schemas.openxmlformats.org/officeDocument/2006/relationships/hyperlink" Target="consultantplus://offline/ref=7C23C2F838E949EF0AB3B3884584E8FFF57A2925F0629EAEFDDCE8FF78526234430F42B16FD2A0B53A21B74E395EB2919CA58CB403CDC5521CC88991d4DCL" TargetMode = "External"/>
	<Relationship Id="rId124" Type="http://schemas.openxmlformats.org/officeDocument/2006/relationships/hyperlink" Target="consultantplus://offline/ref=7C23C2F838E949EF0AB3AD8553E8BFF0F077772FF66090F9A48DEEA827026461034F44E42C96ADB5322AE31D7800EBC2DEEE80B71BD1C451d0D1L" TargetMode = "External"/>
	<Relationship Id="rId125" Type="http://schemas.openxmlformats.org/officeDocument/2006/relationships/hyperlink" Target="consultantplus://offline/ref=7C23C2F838E949EF0AB3AD8553E8BFF0F077772FF66090F9A48DEEA827026461034F44E42C96ADB5322AE31D7800EBC2DEEE80B71BD1C451d0D1L" TargetMode = "External"/>
	<Relationship Id="rId126" Type="http://schemas.openxmlformats.org/officeDocument/2006/relationships/hyperlink" Target="consultantplus://offline/ref=7C23C2F838E949EF0AB3AD8553E8BFF0F7747421FB6290F9A48DEEA827026461114F1CE82E90B3B53B3FB54C3Ed5D6L" TargetMode = "External"/>
	<Relationship Id="rId127" Type="http://schemas.openxmlformats.org/officeDocument/2006/relationships/hyperlink" Target="consultantplus://offline/ref=7C23C2F838E949EF0AB3AD8553E8BFF0F7747620F26490F9A48DEEA827026461114F1CE82E90B3B53B3FB54C3Ed5D6L" TargetMode = "External"/>
	<Relationship Id="rId128" Type="http://schemas.openxmlformats.org/officeDocument/2006/relationships/hyperlink" Target="consultantplus://offline/ref=7C23C2F838E949EF0AB3AD8553E8BFF0F076772DF26690F9A48DEEA827026461114F1CE82E90B3B53B3FB54C3Ed5D6L" TargetMode = "External"/>
	<Relationship Id="rId129" Type="http://schemas.openxmlformats.org/officeDocument/2006/relationships/hyperlink" Target="consultantplus://offline/ref=7C23C2F838E949EF0AB3AD8553E8BFF0F7747620F26490F9A48DEEA827026461114F1CE82E90B3B53B3FB54C3Ed5D6L" TargetMode = "External"/>
	<Relationship Id="rId130" Type="http://schemas.openxmlformats.org/officeDocument/2006/relationships/hyperlink" Target="consultantplus://offline/ref=7C23C2F838E949EF0AB3AD8553E8BFF0F772722DF46690F9A48DEEA827026461114F1CE82E90B3B53B3FB54C3Ed5D6L" TargetMode = "External"/>
	<Relationship Id="rId131" Type="http://schemas.openxmlformats.org/officeDocument/2006/relationships/hyperlink" Target="consultantplus://offline/ref=7C23C2F838E949EF0AB3AD8553E8BFF0F772722AF56190F9A48DEEA827026461114F1CE82E90B3B53B3FB54C3Ed5D6L" TargetMode = "External"/>
	<Relationship Id="rId132" Type="http://schemas.openxmlformats.org/officeDocument/2006/relationships/hyperlink" Target="consultantplus://offline/ref=7C23C2F838E949EF0AB3AD8553E8BFF0F775712AF26390F9A48DEEA827026461114F1CE82E90B3B53B3FB54C3Ed5D6L" TargetMode = "External"/>
	<Relationship Id="rId133" Type="http://schemas.openxmlformats.org/officeDocument/2006/relationships/hyperlink" Target="consultantplus://offline/ref=7C23C2F838E949EF0AB3AD8553E8BFF0F777772EF16D90F9A48DEEA827026461114F1CE82E90B3B53B3FB54C3Ed5D6L" TargetMode = "External"/>
	<Relationship Id="rId134" Type="http://schemas.openxmlformats.org/officeDocument/2006/relationships/hyperlink" Target="consultantplus://offline/ref=7C23C2F838E949EF0AB3AD8553E8BFF0F7727229F16690F9A48DEEA827026461114F1CE82E90B3B53B3FB54C3Ed5D6L" TargetMode = "External"/>
	<Relationship Id="rId135" Type="http://schemas.openxmlformats.org/officeDocument/2006/relationships/hyperlink" Target="consultantplus://offline/ref=7C23C2F838E949EF0AB3B3884584E8FFF57A2925F06C98ACF0DBE8FF78526234430F42B16FD2A0B53A21B74D3E5EB2919CA58CB403CDC5521CC88991d4DCL" TargetMode = "External"/>
	<Relationship Id="rId136" Type="http://schemas.openxmlformats.org/officeDocument/2006/relationships/hyperlink" Target="consultantplus://offline/ref=7C23C2F838E949EF0AB3AD8553E8BFF0F7747521F26690F9A48DEEA827026461114F1CE82E90B3B53B3FB54C3Ed5D6L" TargetMode = "External"/>
	<Relationship Id="rId137" Type="http://schemas.openxmlformats.org/officeDocument/2006/relationships/hyperlink" Target="consultantplus://offline/ref=7C23C2F838E949EF0AB3AD8553E8BFF0F774762BF16C90F9A48DEEA827026461114F1CE82E90B3B53B3FB54C3Ed5D6L" TargetMode = "External"/>
	<Relationship Id="rId138" Type="http://schemas.openxmlformats.org/officeDocument/2006/relationships/hyperlink" Target="consultantplus://offline/ref=7C23C2F838E949EF0AB3B3884584E8FFF57A2925F06C98ACF0DBE8FF78526234430F42B16FD2A0B53A21B74D3F5EB2919CA58CB403CDC5521CC88991d4DCL" TargetMode = "External"/>
	<Relationship Id="rId139" Type="http://schemas.openxmlformats.org/officeDocument/2006/relationships/hyperlink" Target="consultantplus://offline/ref=7C23C2F838E949EF0AB3AD8553E8BFF0F7737528F16C90F9A48DEEA827026461114F1CE82E90B3B53B3FB54C3Ed5D6L" TargetMode = "External"/>
	<Relationship Id="rId140" Type="http://schemas.openxmlformats.org/officeDocument/2006/relationships/hyperlink" Target="consultantplus://offline/ref=7C23C2F838E949EF0AB3B3884584E8FFF57A2925F06C98ACF0DBE8FF78526234430F42B16FD2A0B53A21B74D385EB2919CA58CB403CDC5521CC88991d4DCL" TargetMode = "External"/>
	<Relationship Id="rId141" Type="http://schemas.openxmlformats.org/officeDocument/2006/relationships/hyperlink" Target="consultantplus://offline/ref=7C23C2F838E949EF0AB3AD8553E8BFF0F773732BF36590F9A48DEEA827026461034F44E42E92A6E06B65E2413E53F8C1D9EE83B607dDD0L" TargetMode = "External"/>
	<Relationship Id="rId142" Type="http://schemas.openxmlformats.org/officeDocument/2006/relationships/hyperlink" Target="consultantplus://offline/ref=7C23C2F838E949EF0AB3AD8553E8BFF0F0787F2FF26690F9A48DEEA827026461034F44E42C96ADBC392AE31D7800EBC2DEEE80B71BD1C451d0D1L" TargetMode = "External"/>
	<Relationship Id="rId143" Type="http://schemas.openxmlformats.org/officeDocument/2006/relationships/hyperlink" Target="consultantplus://offline/ref=7C23C2F838E949EF0AB3AD8553E8BFF0F0787F2FF26790F9A48DEEA827026461034F44E42C96ADB03F2AE31D7800EBC2DEEE80B71BD1C451d0D1L" TargetMode = "External"/>
	<Relationship Id="rId144" Type="http://schemas.openxmlformats.org/officeDocument/2006/relationships/hyperlink" Target="consultantplus://offline/ref=7C23C2F838E949EF0AB3AD8553E8BFF0F0787F2EFB6090F9A48DEEA827026461034F44E42B9DF9E57E74BA4E3A4BE7C1C6F281B4d0D6L" TargetMode = "External"/>
	<Relationship Id="rId145" Type="http://schemas.openxmlformats.org/officeDocument/2006/relationships/hyperlink" Target="consultantplus://offline/ref=7C23C2F838E949EF0AB3AD8553E8BFF0F0787F2EFB6590F9A48DEEA827026461114F1CE82E90B3B53B3FB54C3Ed5D6L" TargetMode = "External"/>
	<Relationship Id="rId146" Type="http://schemas.openxmlformats.org/officeDocument/2006/relationships/hyperlink" Target="consultantplus://offline/ref=7C23C2F838E949EF0AB3AD8553E8BFF0F772702CF26D90F9A48DEEA827026461114F1CE82E90B3B53B3FB54C3Ed5D6L" TargetMode = "External"/>
	<Relationship Id="rId147" Type="http://schemas.openxmlformats.org/officeDocument/2006/relationships/hyperlink" Target="consultantplus://offline/ref=7C23C2F838E949EF0AB3AD8553E8BFF0F7757128F46490F9A48DEEA827026461114F1CE82E90B3B53B3FB54C3Ed5D6L" TargetMode = "External"/>
	<Relationship Id="rId148" Type="http://schemas.openxmlformats.org/officeDocument/2006/relationships/hyperlink" Target="consultantplus://offline/ref=7C23C2F838E949EF0AB3AD8553E8BFF0F0797E29F26090F9A48DEEA827026461114F1CE82E90B3B53B3FB54C3Ed5D6L" TargetMode = "External"/>
	<Relationship Id="rId149" Type="http://schemas.openxmlformats.org/officeDocument/2006/relationships/hyperlink" Target="consultantplus://offline/ref=7C23C2F838E949EF0AB3B3884584E8FFF57A2925F0629EAEFDDCE8FF78526234430F42B16FD2A0B53A21B74E3B5EB2919CA58CB403CDC5521CC88991d4DCL" TargetMode = "External"/>
	<Relationship Id="rId150" Type="http://schemas.openxmlformats.org/officeDocument/2006/relationships/hyperlink" Target="consultantplus://offline/ref=7C23C2F838E949EF0AB3B3884584E8FFF57A2925F0629EAEFDDCE8FF78526234430F42B16FD2A0B53A21B74E3B5EB2919CA58CB403CDC5521CC88991d4DCL" TargetMode = "External"/>
	<Relationship Id="rId151" Type="http://schemas.openxmlformats.org/officeDocument/2006/relationships/hyperlink" Target="consultantplus://offline/ref=7C23C2F838E949EF0AB3AD8553E8BFF0F077772FF66090F9A48DEEA827026461034F44E42C96ADB5322AE31D7800EBC2DEEE80B71BD1C451d0D1L" TargetMode = "External"/>
	<Relationship Id="rId152" Type="http://schemas.openxmlformats.org/officeDocument/2006/relationships/hyperlink" Target="consultantplus://offline/ref=7C23C2F838E949EF0AB3B3884584E8FFF57A2925F0629EAEFDDCE8FF78526234430F42B16FD2A0B53A21B74E3B5EB2919CA58CB403CDC5521CC88991d4DCL" TargetMode = "External"/>
	<Relationship Id="rId153" Type="http://schemas.openxmlformats.org/officeDocument/2006/relationships/hyperlink" Target="consultantplus://offline/ref=7C23C2F838E949EF0AB3AD8553E8BFF0F773732BF36590F9A48DEEA827026461034F44E42C96AEB4322AE31D7800EBC2DEEE80B71BD1C451d0D1L" TargetMode = "External"/>
	<Relationship Id="rId154" Type="http://schemas.openxmlformats.org/officeDocument/2006/relationships/hyperlink" Target="consultantplus://offline/ref=7C23C2F838E949EF0AB3B3884584E8FFF57A2925F0639FAAFFDDE8FF78526234430F42B16FD2A0B53A21B74C3A5EB2919CA58CB403CDC5521CC88991d4DCL" TargetMode = "External"/>
	<Relationship Id="rId155" Type="http://schemas.openxmlformats.org/officeDocument/2006/relationships/hyperlink" Target="consultantplus://offline/ref=7C23C2F838E949EF0AB3B3884584E8FFF57A2925F0639FAAFFDDE8FF78526234430F42B16FD2A0B53A21B74C3B5EB2919CA58CB403CDC5521CC88991d4DCL" TargetMode = "External"/>
	<Relationship Id="rId156" Type="http://schemas.openxmlformats.org/officeDocument/2006/relationships/image" Target="media/image2.wmf"/>
	<Relationship Id="rId157" Type="http://schemas.openxmlformats.org/officeDocument/2006/relationships/image" Target="media/image3.wmf"/>
	<Relationship Id="rId158" Type="http://schemas.openxmlformats.org/officeDocument/2006/relationships/image" Target="media/image4.wmf"/>
	<Relationship Id="rId159" Type="http://schemas.openxmlformats.org/officeDocument/2006/relationships/image" Target="media/image5.wmf"/>
	<Relationship Id="rId160" Type="http://schemas.openxmlformats.org/officeDocument/2006/relationships/image" Target="media/image6.wmf"/>
	<Relationship Id="rId161" Type="http://schemas.openxmlformats.org/officeDocument/2006/relationships/image" Target="media/image7.wmf"/>
	<Relationship Id="rId162" Type="http://schemas.openxmlformats.org/officeDocument/2006/relationships/image" Target="media/image8.wmf"/>
	<Relationship Id="rId163" Type="http://schemas.openxmlformats.org/officeDocument/2006/relationships/image" Target="media/image9.wmf"/>
	<Relationship Id="rId164" Type="http://schemas.openxmlformats.org/officeDocument/2006/relationships/image" Target="media/image10.wmf"/>
	<Relationship Id="rId165" Type="http://schemas.openxmlformats.org/officeDocument/2006/relationships/image" Target="media/image11.wmf"/>
	<Relationship Id="rId166" Type="http://schemas.openxmlformats.org/officeDocument/2006/relationships/image" Target="media/image12.wmf"/>
	<Relationship Id="rId167" Type="http://schemas.openxmlformats.org/officeDocument/2006/relationships/image" Target="media/image13.wmf"/>
	<Relationship Id="rId168" Type="http://schemas.openxmlformats.org/officeDocument/2006/relationships/image" Target="media/image14.wmf"/>
	<Relationship Id="rId169" Type="http://schemas.openxmlformats.org/officeDocument/2006/relationships/image" Target="media/image15.wmf"/>
	<Relationship Id="rId170" Type="http://schemas.openxmlformats.org/officeDocument/2006/relationships/image" Target="media/image16.wmf"/>
	<Relationship Id="rId171" Type="http://schemas.openxmlformats.org/officeDocument/2006/relationships/image" Target="media/image17.wmf"/>
	<Relationship Id="rId172" Type="http://schemas.openxmlformats.org/officeDocument/2006/relationships/image" Target="media/image18.wmf"/>
	<Relationship Id="rId173" Type="http://schemas.openxmlformats.org/officeDocument/2006/relationships/image" Target="media/image19.wmf"/>
	<Relationship Id="rId174" Type="http://schemas.openxmlformats.org/officeDocument/2006/relationships/hyperlink" Target="consultantplus://offline/ref=7C23C2F838E949EF0AB3B3884584E8FFF57A2925F06C92AEF0D1E8FF78526234430F42B16FD2A0B53A21BF4E3E5EB2919CA58CB403CDC5521CC88991d4DCL" TargetMode = "External"/>
	<Relationship Id="rId175" Type="http://schemas.openxmlformats.org/officeDocument/2006/relationships/hyperlink" Target="consultantplus://offline/ref=7C23C2F838E949EF0AB3B3884584E8FFF57A2925F0629DAEFDD8E8FF78526234430F42B17DD2F8B93827A94D3D4BE4C0DAdFD3L" TargetMode = "External"/>
	<Relationship Id="rId176" Type="http://schemas.openxmlformats.org/officeDocument/2006/relationships/hyperlink" Target="consultantplus://offline/ref=7C23C2F838E949EF0AB3B3884584E8FFF57A2925F06199ABF8DCE8FF78526234430F42B16FD2A0B53A21B74C3A5EB2919CA58CB403CDC5521CC88991d4DCL" TargetMode = "External"/>
	<Relationship Id="rId177" Type="http://schemas.openxmlformats.org/officeDocument/2006/relationships/hyperlink" Target="consultantplus://offline/ref=7C23C2F838E949EF0AB3B3884584E8FFF57A2925F0629CADFEDBE8FF78526234430F42B16FD2A0B53A21B74C3A5EB2919CA58CB403CDC5521CC88991d4DCL" TargetMode = "External"/>
	<Relationship Id="rId178" Type="http://schemas.openxmlformats.org/officeDocument/2006/relationships/hyperlink" Target="consultantplus://offline/ref=7C23C2F838E949EF0AB3B3884584E8FFF57A2925F06C98ACF0DBE8FF78526234430F42B16FD2A0B53A21B74D3A5EB2919CA58CB403CDC5521CC88991d4DCL" TargetMode = "External"/>
	<Relationship Id="rId179" Type="http://schemas.openxmlformats.org/officeDocument/2006/relationships/hyperlink" Target="consultantplus://offline/ref=7C23C2F838E949EF0AB3B3884584E8FFF57A2925F06C9FA9FDD0E8FF78526234430F42B16FD2A0B53A21B74C3A5EB2919CA58CB403CDC5521CC88991d4DCL" TargetMode = "External"/>
	<Relationship Id="rId180" Type="http://schemas.openxmlformats.org/officeDocument/2006/relationships/hyperlink" Target="consultantplus://offline/ref=7C23C2F838E949EF0AB3B3884584E8FFF57A2925F06C93A6FDD0E8FF78526234430F42B16FD2A0B53A21B74C3A5EB2919CA58CB403CDC5521CC88991d4DCL" TargetMode = "External"/>
	<Relationship Id="rId181" Type="http://schemas.openxmlformats.org/officeDocument/2006/relationships/hyperlink" Target="consultantplus://offline/ref=7C23C2F838E949EF0AB3B3884584E8FFF57A2925F06C92AEF0D1E8FF78526234430F42B16FD2A0B53A21B74D3E5EB2919CA58CB403CDC5521CC88991d4DCL" TargetMode = "External"/>
	<Relationship Id="rId182" Type="http://schemas.openxmlformats.org/officeDocument/2006/relationships/hyperlink" Target="consultantplus://offline/ref=7C23C2F838E949EF0AB3B3884584E8FFF57A2925F06C92AEF0D1E8FF78526234430F42B16FD2A0B53A21B44C3F5EB2919CA58CB403CDC5521CC88991d4DCL" TargetMode = "External"/>
	<Relationship Id="rId183" Type="http://schemas.openxmlformats.org/officeDocument/2006/relationships/hyperlink" Target="consultantplus://offline/ref=7C23C2F838E949EF0AB3B3884584E8FFF57A2925F06C92AEF0D1E8FF78526234430F42B16FD2A0B53A20B74D3C5EB2919CA58CB403CDC5521CC88991d4DCL" TargetMode = "External"/>
	<Relationship Id="rId184" Type="http://schemas.openxmlformats.org/officeDocument/2006/relationships/hyperlink" Target="consultantplus://offline/ref=7C23C2F838E949EF0AB3AD8553E8BFF0F7757F2EFA6C90F9A48DEEA827026461114F1CE82E90B3B53B3FB54C3Ed5D6L" TargetMode = "External"/>
	<Relationship Id="rId185" Type="http://schemas.openxmlformats.org/officeDocument/2006/relationships/hyperlink" Target="consultantplus://offline/ref=7C23C2F838E949EF0AB3B3884584E8FFF57A2925F06199ABF8DCE8FF78526234430F42B16FD2A0B53A21B74C3B5EB2919CA58CB403CDC5521CC88991d4DCL" TargetMode = "External"/>
	<Relationship Id="rId186" Type="http://schemas.openxmlformats.org/officeDocument/2006/relationships/hyperlink" Target="consultantplus://offline/ref=7C23C2F838E949EF0AB3B3884584E8FFF57A2925F06C9FA9FDD0E8FF78526234430F42B16FD2A0B53A21B74C3B5EB2919CA58CB403CDC5521CC88991d4DCL" TargetMode = "External"/>
	<Relationship Id="rId187" Type="http://schemas.openxmlformats.org/officeDocument/2006/relationships/hyperlink" Target="consultantplus://offline/ref=7C23C2F838E949EF0AB3B3884584E8FFF57A2925F06C9FA9FDD0E8FF78526234430F42B16FD2A0B53A21B74C355EB2919CA58CB403CDC5521CC88991d4DCL" TargetMode = "External"/>
	<Relationship Id="rId188" Type="http://schemas.openxmlformats.org/officeDocument/2006/relationships/hyperlink" Target="consultantplus://offline/ref=7C23C2F838E949EF0AB3B3884584E8FFF57A2925F06199ABF8DCE8FF78526234430F42B16FD2A0B53A21B74C345EB2919CA58CB403CDC5521CC88991d4DCL" TargetMode = "External"/>
	<Relationship Id="rId189" Type="http://schemas.openxmlformats.org/officeDocument/2006/relationships/hyperlink" Target="consultantplus://offline/ref=7C23C2F838E949EF0AB3B3884584E8FFF57A2925F06199ABF8DCE8FF78526234430F42B16FD2A0B53A21B74D3C5EB2919CA58CB403CDC5521CC88991d4DCL" TargetMode = "External"/>
	<Relationship Id="rId190" Type="http://schemas.openxmlformats.org/officeDocument/2006/relationships/hyperlink" Target="consultantplus://offline/ref=7C23C2F838E949EF0AB3B3884584E8FFF57A2925F06199ABF8DCE8FF78526234430F42B16FD2A0B53A21B74D3D5EB2919CA58CB403CDC5521CC88991d4DCL" TargetMode = "External"/>
	<Relationship Id="rId191" Type="http://schemas.openxmlformats.org/officeDocument/2006/relationships/hyperlink" Target="consultantplus://offline/ref=7C23C2F838E949EF0AB3B3884584E8FFF57A2925F06199ABF8DCE8FF78526234430F42B16FD2A0B53A21B74D3E5EB2919CA58CB403CDC5521CC88991d4DCL" TargetMode = "External"/>
	<Relationship Id="rId192" Type="http://schemas.openxmlformats.org/officeDocument/2006/relationships/hyperlink" Target="consultantplus://offline/ref=7C23C2F838E949EF0AB3B3884584E8FFF57A2925F06199ABF8DCE8FF78526234430F42B16FD2A0B53A21B74D3F5EB2919CA58CB403CDC5521CC88991d4DCL" TargetMode = "External"/>
	<Relationship Id="rId193" Type="http://schemas.openxmlformats.org/officeDocument/2006/relationships/hyperlink" Target="consultantplus://offline/ref=7C23C2F838E949EF0AB3B3884584E8FFF57A2925F06199ABF8DCE8FF78526234430F42B16FD2A0B53A21B74D385EB2919CA58CB403CDC5521CC88991d4DCL" TargetMode = "External"/>
	<Relationship Id="rId194" Type="http://schemas.openxmlformats.org/officeDocument/2006/relationships/hyperlink" Target="consultantplus://offline/ref=7C23C2F838E949EF0AB3B3884584E8FFF57A2925F06C9FA9FDD0E8FF78526234430F42B16FD2A0B53A21B74D3D5EB2919CA58CB403CDC5521CC88991d4DCL" TargetMode = "External"/>
	<Relationship Id="rId195" Type="http://schemas.openxmlformats.org/officeDocument/2006/relationships/hyperlink" Target="consultantplus://offline/ref=7C23C2F838E949EF0AB3B3884584E8FFF57A2925F06C9FA9FDD0E8FF78526234430F42B16FD2A0B53A21B74D3F5EB2919CA58CB403CDC5521CC88991d4DCL" TargetMode = "External"/>
	<Relationship Id="rId196" Type="http://schemas.openxmlformats.org/officeDocument/2006/relationships/hyperlink" Target="consultantplus://offline/ref=7C23C2F838E949EF0AB3B3884584E8FFF57A2925F0629CADFEDBE8FF78526234430F42B16FD2A0B53A21B74C3B5EB2919CA58CB403CDC5521CC88991d4DCL" TargetMode = "External"/>
	<Relationship Id="rId197" Type="http://schemas.openxmlformats.org/officeDocument/2006/relationships/hyperlink" Target="consultantplus://offline/ref=7C23C2F838E949EF0AB3B3884584E8FFF57A2925F06C93A6FDD0E8FF78526234430F42B16FD2A0B53A21B74C3B5EB2919CA58CB403CDC5521CC88991d4DCL" TargetMode = "External"/>
	<Relationship Id="rId198" Type="http://schemas.openxmlformats.org/officeDocument/2006/relationships/hyperlink" Target="consultantplus://offline/ref=7C23C2F838E949EF0AB3B3884584E8FFF57A2925F06C98ACF0DBE8FF78526234430F42B16FD2A0B53A21B74D345EB2919CA58CB403CDC5521CC88991d4DCL" TargetMode = "External"/>
	<Relationship Id="rId199" Type="http://schemas.openxmlformats.org/officeDocument/2006/relationships/hyperlink" Target="consultantplus://offline/ref=7C23C2F838E949EF0AB3B3884584E8FFF57A2925F06C98ACF0DBE8FF78526234430F42B16FD2A0B53A21B74E3C5EB2919CA58CB403CDC5521CC88991d4DCL" TargetMode = "External"/>
	<Relationship Id="rId200" Type="http://schemas.openxmlformats.org/officeDocument/2006/relationships/hyperlink" Target="consultantplus://offline/ref=7C23C2F838E949EF0AB3B3884584E8FFF57A2925F06C98ACF0DBE8FF78526234430F42B16FD2A0B53A21B74E3D5EB2919CA58CB403CDC5521CC88991d4DCL" TargetMode = "External"/>
	<Relationship Id="rId201" Type="http://schemas.openxmlformats.org/officeDocument/2006/relationships/hyperlink" Target="consultantplus://offline/ref=7C23C2F838E949EF0AB3B3884584E8FFF57A2925F06199ABF8DCE8FF78526234430F42B16FD2A0B53A21B74D395EB2919CA58CB403CDC5521CC88991d4DCL" TargetMode = "External"/>
	<Relationship Id="rId202" Type="http://schemas.openxmlformats.org/officeDocument/2006/relationships/hyperlink" Target="consultantplus://offline/ref=7C23C2F838E949EF0AB3B3884584E8FFF57A2925F06C98ACF0DBE8FF78526234430F42B16FD2A0B53A21B74E395EB2919CA58CB403CDC5521CC88991d4DCL" TargetMode = "External"/>
	<Relationship Id="rId203" Type="http://schemas.openxmlformats.org/officeDocument/2006/relationships/hyperlink" Target="consultantplus://offline/ref=7C23C2F838E949EF0AB3B3884584E8FFF57A2925F06C98ACF0DBE8FF78526234430F42B16FD2A0B53A21B74E3B5EB2919CA58CB403CDC5521CC88991d4DCL" TargetMode = "External"/>
	<Relationship Id="rId204" Type="http://schemas.openxmlformats.org/officeDocument/2006/relationships/hyperlink" Target="consultantplus://offline/ref=7C23C2F838E949EF0AB3B3884584E8FFF57A2925F06C98ACF0DBE8FF78526234430F42B16FD2A0B53A21B74E355EB2919CA58CB403CDC5521CC88991d4DCL" TargetMode = "External"/>
	<Relationship Id="rId205" Type="http://schemas.openxmlformats.org/officeDocument/2006/relationships/hyperlink" Target="consultantplus://offline/ref=7C23C2F838E949EF0AB3B3884584E8FFF57A2925F06199ABF8DCE8FF78526234430F42B16FD2A0B53A21B74D3A5EB2919CA58CB403CDC5521CC88991d4DCL" TargetMode = "External"/>
	<Relationship Id="rId206" Type="http://schemas.openxmlformats.org/officeDocument/2006/relationships/hyperlink" Target="consultantplus://offline/ref=7C23C2F838E949EF0AB3B3884584E8FFF57A2925F06C98ACF0DBE8FF78526234430F42B16FD2A0B53A21B74F3D5EB2919CA58CB403CDC5521CC88991d4DCL" TargetMode = "External"/>
	<Relationship Id="rId207" Type="http://schemas.openxmlformats.org/officeDocument/2006/relationships/hyperlink" Target="consultantplus://offline/ref=7C23C2F838E949EF0AB3B3884584E8FFF57A2925F06C98ACF0DBE8FF78526234430F42B16FD2A0B53A21B74F3E5EB2919CA58CB403CDC5521CC88991d4DCL" TargetMode = "External"/>
	<Relationship Id="rId208" Type="http://schemas.openxmlformats.org/officeDocument/2006/relationships/hyperlink" Target="consultantplus://offline/ref=7C23C2F838E949EF0AB3B3884584E8FFF57A2925F06C98ACF0DBE8FF78526234430F42B16FD2A0B53A21B74F385EB2919CA58CB403CDC5521CC88991d4DCL" TargetMode = "External"/>
	<Relationship Id="rId209" Type="http://schemas.openxmlformats.org/officeDocument/2006/relationships/hyperlink" Target="consultantplus://offline/ref=7C23C2F838E949EF0AB3B3884584E8FFF57A2925F06C98ACF0DBE8FF78526234430F42B16FD2A0B53A21B74F3A5EB2919CA58CB403CDC5521CC88991d4DCL" TargetMode = "External"/>
	<Relationship Id="rId210" Type="http://schemas.openxmlformats.org/officeDocument/2006/relationships/hyperlink" Target="consultantplus://offline/ref=7C23C2F838E949EF0AB3B3884584E8FFF57A2925F06C98ACF0DBE8FF78526234430F42B16FD2A0B53A21B74F3B5EB2919CA58CB403CDC5521CC88991d4DCL" TargetMode = "External"/>
	<Relationship Id="rId211" Type="http://schemas.openxmlformats.org/officeDocument/2006/relationships/hyperlink" Target="consultantplus://offline/ref=7C23C2F838E949EF0AB3B3884584E8FFF57A2925F06C98ACF0DBE8FF78526234430F42B16FD2A0B53A21B74F3B5EB2919CA58CB403CDC5521CC88991d4DCL" TargetMode = "External"/>
	<Relationship Id="rId212" Type="http://schemas.openxmlformats.org/officeDocument/2006/relationships/hyperlink" Target="consultantplus://offline/ref=7C23C2F838E949EF0AB3B3884584E8FFF57A2925F06C98ACF0DBE8FF78526234430F42B16FD2A0B53A21B74F345EB2919CA58CB403CDC5521CC88991d4DCL" TargetMode = "External"/>
	<Relationship Id="rId213" Type="http://schemas.openxmlformats.org/officeDocument/2006/relationships/hyperlink" Target="consultantplus://offline/ref=7C23C2F838E949EF0AB3B3884584E8FFF57A2925F0629CADFEDBE8FF78526234430F42B16FD2A0B53A21B74C345EB2919CA58CB403CDC5521CC88991d4DCL" TargetMode = "External"/>
	<Relationship Id="rId214" Type="http://schemas.openxmlformats.org/officeDocument/2006/relationships/hyperlink" Target="consultantplus://offline/ref=7C23C2F838E949EF0AB3B3884584E8FFF57A2925F06C98ACF0DBE8FF78526234430F42B16FD2A0B53A21B74F355EB2919CA58CB403CDC5521CC88991d4DCL" TargetMode = "External"/>
	<Relationship Id="rId215" Type="http://schemas.openxmlformats.org/officeDocument/2006/relationships/hyperlink" Target="consultantplus://offline/ref=7C23C2F838E949EF0AB3B3884584E8FFF57A2925F06199ABF8DCE8FF78526234430F42B16FD2A0B53A21B74E3C5EB2919CA58CB403CDC5521CC88991d4DCL" TargetMode = "External"/>
	<Relationship Id="rId216" Type="http://schemas.openxmlformats.org/officeDocument/2006/relationships/hyperlink" Target="consultantplus://offline/ref=7C23C2F838E949EF0AB3B3884584E8FFF57A2925F06C98ACF0DBE8FF78526234430F42B16FD2A0B53A21B7483E5EB2919CA58CB403CDC5521CC88991d4DCL" TargetMode = "External"/>
	<Relationship Id="rId217" Type="http://schemas.openxmlformats.org/officeDocument/2006/relationships/hyperlink" Target="consultantplus://offline/ref=7C23C2F838E949EF0AB3B3884584E8FFF57A2925F06C98ACF0DBE8FF78526234430F42B16FD2A0B53A21B7483F5EB2919CA58CB403CDC5521CC88991d4DCL" TargetMode = "External"/>
	<Relationship Id="rId218" Type="http://schemas.openxmlformats.org/officeDocument/2006/relationships/hyperlink" Target="consultantplus://offline/ref=7C23C2F838E949EF0AB3B3884584E8FFF57A2925F06199ABF8DCE8FF78526234430F42B16FD2A0B53A21B74E3E5EB2919CA58CB403CDC5521CC88991d4DCL" TargetMode = "External"/>
	<Relationship Id="rId219" Type="http://schemas.openxmlformats.org/officeDocument/2006/relationships/hyperlink" Target="consultantplus://offline/ref=7C23C2F838E949EF0AB3B3884584E8FFF57A2925F06C98ACF0DBE8FF78526234430F42B16FD2A0B53A21B748385EB2919CA58CB403CDC5521CC88991d4DCL" TargetMode = "External"/>
	<Relationship Id="rId220" Type="http://schemas.openxmlformats.org/officeDocument/2006/relationships/hyperlink" Target="consultantplus://offline/ref=7C23C2F838E949EF0AB3B3884584E8FFF57A2925F06C98ACF0DBE8FF78526234430F42B16FD2A0B53A21B748395EB2919CA58CB403CDC5521CC88991d4DCL" TargetMode = "External"/>
	<Relationship Id="rId221" Type="http://schemas.openxmlformats.org/officeDocument/2006/relationships/hyperlink" Target="consultantplus://offline/ref=7C23C2F838E949EF0AB3B3884584E8FFF57A2925F06C98ACF0DBE8FF78526234430F42B16FD2A0B53A21B748345EB2919CA58CB403CDC5521CC88991d4DCL" TargetMode = "External"/>
	<Relationship Id="rId222" Type="http://schemas.openxmlformats.org/officeDocument/2006/relationships/hyperlink" Target="consultantplus://offline/ref=7C23C2F838E949EF0AB3B3884584E8FFF57A2925F06C98ACF0DBE8FF78526234430F42B16FD2A0B53A21B7493C5EB2919CA58CB403CDC5521CC88991d4DCL" TargetMode = "External"/>
	<Relationship Id="rId223" Type="http://schemas.openxmlformats.org/officeDocument/2006/relationships/hyperlink" Target="consultantplus://offline/ref=7C23C2F838E949EF0AB3B3884584E8FFF57A2925F06C93A6FDD0E8FF78526234430F42B16FD2A0B53A21B74C355EB2919CA58CB403CDC5521CC88991d4DCL" TargetMode = "External"/>
	<Relationship Id="rId224" Type="http://schemas.openxmlformats.org/officeDocument/2006/relationships/hyperlink" Target="consultantplus://offline/ref=7C23C2F838E949EF0AB3B3884584E8FFF57A2925F06C98ACF0DBE8FF78526234430F42B16FD2A0B53A21B749385EB2919CA58CB403CDC5521CC88991d4DCL" TargetMode = "External"/>
	<Relationship Id="rId225" Type="http://schemas.openxmlformats.org/officeDocument/2006/relationships/hyperlink" Target="consultantplus://offline/ref=7C23C2F838E949EF0AB3B3884584E8FFF57A2925F06C98ACF0DBE8FF78526234430F42B16FD2A0B53A21B74A3F5EB2919CA58CB403CDC5521CC88991d4DCL" TargetMode = "External"/>
	<Relationship Id="rId226" Type="http://schemas.openxmlformats.org/officeDocument/2006/relationships/hyperlink" Target="consultantplus://offline/ref=7C23C2F838E949EF0AB3B3884584E8FFF57A2925F06C98ACF0DBE8FF78526234430F42B16FD2A0B53A21B74A385EB2919CA58CB403CDC5521CC88991d4DCL" TargetMode = "External"/>
	<Relationship Id="rId227" Type="http://schemas.openxmlformats.org/officeDocument/2006/relationships/hyperlink" Target="consultantplus://offline/ref=7C23C2F838E949EF0AB3B3884584E8FFF57A2925F06C98ACF0DBE8FF78526234430F42B16FD2A0B53A21B74A395EB2919CA58CB403CDC5521CC88991d4DCL" TargetMode = "External"/>
	<Relationship Id="rId228" Type="http://schemas.openxmlformats.org/officeDocument/2006/relationships/hyperlink" Target="consultantplus://offline/ref=7C23C2F838E949EF0AB3B3884584E8FFF57A2925F06C93A6FDD0E8FF78526234430F42B16FD2A0B53A21B74D3D5EB2919CA58CB403CDC5521CC88991d4DCL" TargetMode = "External"/>
	<Relationship Id="rId229" Type="http://schemas.openxmlformats.org/officeDocument/2006/relationships/hyperlink" Target="consultantplus://offline/ref=7C23C2F838E949EF0AB3B3884584E8FFF57A2925F06C93A6FDD0E8FF78526234430F42B16FD2A0B53A21B74D3F5EB2919CA58CB403CDC5521CC88991d4DCL" TargetMode = "External"/>
	<Relationship Id="rId230" Type="http://schemas.openxmlformats.org/officeDocument/2006/relationships/hyperlink" Target="consultantplus://offline/ref=7C23C2F838E949EF0AB3B3884584E8FFF57A2925F06C98ACF0DBE8FF78526234430F42B16FD2A0B53A21B7443E5EB2919CA58CB403CDC5521CC88991d4DCL" TargetMode = "External"/>
	<Relationship Id="rId231" Type="http://schemas.openxmlformats.org/officeDocument/2006/relationships/hyperlink" Target="consultantplus://offline/ref=7C23C2F838E949EF0AB3B3884584E8FFF57A2925F06C98ACF0DBE8FF78526234430F42B16FD2A0B53A21B7443F5EB2919CA58CB403CDC5521CC88991d4DCL" TargetMode = "External"/>
	<Relationship Id="rId232" Type="http://schemas.openxmlformats.org/officeDocument/2006/relationships/hyperlink" Target="consultantplus://offline/ref=7C23C2F838E949EF0AB3B3884584E8FFF57A2925F0619FA6FFDFE8FF78526234430F42B16FD2A0B53A21B74D3E5EB2919CA58CB403CDC5521CC88991d4DCL" TargetMode = "External"/>
	<Relationship Id="rId233" Type="http://schemas.openxmlformats.org/officeDocument/2006/relationships/hyperlink" Target="consultantplus://offline/ref=7C23C2F838E949EF0AB3B3884584E8FFF57A2925F06C93A6FDD0E8FF78526234430F42B16FD2A0B53A21B74D385EB2919CA58CB403CDC5521CC88991d4DCL" TargetMode = "External"/>
	<Relationship Id="rId234" Type="http://schemas.openxmlformats.org/officeDocument/2006/relationships/hyperlink" Target="consultantplus://offline/ref=7C23C2F838E949EF0AB3B3884584E8FFF57A2925F06C92AEF0D1E8FF78526234430F42B16FD2A0B53A21B44C3F5EB2919CA58CB403CDC5521CC88991d4DCL" TargetMode = "External"/>
	<Relationship Id="rId235" Type="http://schemas.openxmlformats.org/officeDocument/2006/relationships/hyperlink" Target="consultantplus://offline/ref=7C23C2F838E949EF0AB3B3884584E8FFF57A2925F06C93A6FDD0E8FF78526234430F42B16FD2A0B53A21B74D395EB2919CA58CB403CDC5521CC88991d4DCL" TargetMode = "External"/>
	<Relationship Id="rId236" Type="http://schemas.openxmlformats.org/officeDocument/2006/relationships/hyperlink" Target="consultantplus://offline/ref=7C23C2F838E949EF0AB3B3884584E8FFF57A2925F0619FA6FFDFE8FF78526234430F42B16FD2A0B53A21B74D3F5EB2919CA58CB403CDC5521CC88991d4DCL" TargetMode = "External"/>
	<Relationship Id="rId237" Type="http://schemas.openxmlformats.org/officeDocument/2006/relationships/hyperlink" Target="consultantplus://offline/ref=7C23C2F838E949EF0AB3B3884584E8FFF57A2925F0619FA6FFDFE8FF78526234430F42B16FD2A0B53A21B74D385EB2919CA58CB403CDC5521CC88991d4DCL" TargetMode = "External"/>
	<Relationship Id="rId238" Type="http://schemas.openxmlformats.org/officeDocument/2006/relationships/hyperlink" Target="consultantplus://offline/ref=7C23C2F838E949EF0AB3B3884584E8FFF57A2925F06C93A6FDD0E8FF78526234430F42B16FD2A0B53A21B74D3B5EB2919CA58CB403CDC5521CC88991d4DCL" TargetMode = "External"/>
	<Relationship Id="rId239" Type="http://schemas.openxmlformats.org/officeDocument/2006/relationships/hyperlink" Target="consultantplus://offline/ref=7C23C2F838E949EF0AB3B3884584E8FFF57A2925F0619FA6FFDFE8FF78526234430F42B16FD2A0B53A21B74D395EB2919CA58CB403CDC5521CC88991d4DCL" TargetMode = "External"/>
	<Relationship Id="rId240" Type="http://schemas.openxmlformats.org/officeDocument/2006/relationships/hyperlink" Target="consultantplus://offline/ref=7C23C2F838E949EF0AB3B3884584E8FFF57A2925F06C93A6FDD0E8FF78526234430F42B16FD2A0B53A21B74D345EB2919CA58CB403CDC5521CC88991d4DCL" TargetMode = "External"/>
	<Relationship Id="rId241" Type="http://schemas.openxmlformats.org/officeDocument/2006/relationships/hyperlink" Target="consultantplus://offline/ref=7C23C2F838E949EF0AB3B3884584E8FFF57A2925F06C93A6FDD0E8FF78526234430F42B16FD2A0B53A21B74D355EB2919CA58CB403CDC5521CC88991d4DCL" TargetMode = "External"/>
	<Relationship Id="rId242" Type="http://schemas.openxmlformats.org/officeDocument/2006/relationships/hyperlink" Target="consultantplus://offline/ref=7C23C2F838E949EF0AB3B3884584E8FFF57A2925F0619FA6FFDFE8FF78526234430F42B16FD2A0B53A21B74D3A5EB2919CA58CB403CDC5521CC88991d4DCL" TargetMode = "External"/>
	<Relationship Id="rId243" Type="http://schemas.openxmlformats.org/officeDocument/2006/relationships/hyperlink" Target="consultantplus://offline/ref=7C23C2F838E949EF0AB3B3884584E8FFF57A2925F0619FA6FFDFE8FF78526234430F42B16FD2A0B53A21B74D3B5EB2919CA58CB403CDC5521CC88991d4DCL" TargetMode = "External"/>
	<Relationship Id="rId244" Type="http://schemas.openxmlformats.org/officeDocument/2006/relationships/hyperlink" Target="consultantplus://offline/ref=7C23C2F838E949EF0AB3B3884584E8FFF57A2925F0619FA6FFDFE8FF78526234430F42B16FD2A0B53A21B74D345EB2919CA58CB403CDC5521CC88991d4DCL" TargetMode = "External"/>
	<Relationship Id="rId245" Type="http://schemas.openxmlformats.org/officeDocument/2006/relationships/hyperlink" Target="consultantplus://offline/ref=7C23C2F838E949EF0AB3B3884584E8FFF57A2925F06193AAF0DBE8FF78526234430F42B16FD2A0B53A21B74C3B5EB2919CA58CB403CDC5521CC88991d4DCL" TargetMode = "External"/>
	<Relationship Id="rId246" Type="http://schemas.openxmlformats.org/officeDocument/2006/relationships/hyperlink" Target="consultantplus://offline/ref=7C23C2F838E949EF0AB3B3884584E8FFF57A2925F0629EAAF9DBE8FF78526234430F42B16FD2A0B53A21B74E3B5EB2919CA58CB403CDC5521CC88991d4DCL" TargetMode = "External"/>
	<Relationship Id="rId247" Type="http://schemas.openxmlformats.org/officeDocument/2006/relationships/hyperlink" Target="consultantplus://offline/ref=7C23C2F838E949EF0AB3B3884584E8FFF57A2925F0629EAEFDDCE8FF78526234430F42B16FD2A0B53A21B74E355EB2919CA58CB403CDC5521CC88991d4DCL" TargetMode = "External"/>
	<Relationship Id="rId248" Type="http://schemas.openxmlformats.org/officeDocument/2006/relationships/hyperlink" Target="consultantplus://offline/ref=7C23C2F838E949EF0AB3B3884584E8FFF57A2925F0629CADFEDBE8FF78526234430F42B16FD2A0B53A21B74D3C5EB2919CA58CB403CDC5521CC88991d4DCL" TargetMode = "External"/>
	<Relationship Id="rId249" Type="http://schemas.openxmlformats.org/officeDocument/2006/relationships/hyperlink" Target="consultantplus://offline/ref=7C23C2F838E949EF0AB3B3884584E8FFF57A2925F0639FAAFFDDE8FF78526234430F42B16FD2A0B53A21B74D3F5EB2919CA58CB403CDC5521CC88991d4DCL" TargetMode = "External"/>
	<Relationship Id="rId250" Type="http://schemas.openxmlformats.org/officeDocument/2006/relationships/hyperlink" Target="consultantplus://offline/ref=7C23C2F838E949EF0AB3B3884584E8FFF57A2925F06C9FA9FDD0E8FF78526234430F42B16FD2A0B53A21B74D385EB2919CA58CB403CDC5521CC88991d4DCL" TargetMode = "External"/>
	<Relationship Id="rId251" Type="http://schemas.openxmlformats.org/officeDocument/2006/relationships/hyperlink" Target="consultantplus://offline/ref=7C23C2F838E949EF0AB3B3884584E8FFF57A2925F06C92AEF0D1E8FF78526234430F42B16FD2A0B53A21B74D3E5EB2919CA58CB403CDC5521CC88991d4DCL" TargetMode = "External"/>
	<Relationship Id="rId252" Type="http://schemas.openxmlformats.org/officeDocument/2006/relationships/hyperlink" Target="consultantplus://offline/ref=7C23C2F838E949EF0AB3B3884584E8FFF57A2925F06C92AEF0D1E8FF78526234430F42B16FD2A0B53A21B34D3B5EB2919CA58CB403CDC5521CC88991d4DCL" TargetMode = "External"/>
	<Relationship Id="rId253" Type="http://schemas.openxmlformats.org/officeDocument/2006/relationships/hyperlink" Target="consultantplus://offline/ref=7C23C2F838E949EF0AB3B3884584E8FFF57A2925F06C92AEF0D1E8FF78526234430F42B16FD2A0B53A21B44C3F5EB2919CA58CB403CDC5521CC88991d4DCL" TargetMode = "External"/>
	<Relationship Id="rId254" Type="http://schemas.openxmlformats.org/officeDocument/2006/relationships/hyperlink" Target="consultantplus://offline/ref=7C23C2F838E949EF0AB3B3884584E8FFF57A2925F0629EAEFDDCE8FF78526234430F42B16FD2A0B53A21B74F3D5EB2919CA58CB403CDC5521CC88991d4DCL" TargetMode = "External"/>
	<Relationship Id="rId255" Type="http://schemas.openxmlformats.org/officeDocument/2006/relationships/hyperlink" Target="consultantplus://offline/ref=7C23C2F838E949EF0AB3B3884584E8FFF57A2925F0639FAAFFDDE8FF78526234430F42B16FD2A0B53A21B74D385EB2919CA58CB403CDC5521CC88991d4DCL" TargetMode = "External"/>
	<Relationship Id="rId256" Type="http://schemas.openxmlformats.org/officeDocument/2006/relationships/hyperlink" Target="consultantplus://offline/ref=7C23C2F838E949EF0AB3B3884584E8FFF57A2925F06C92AEF0D1E8FF78526234430F42B16FD2A0B53A21B44C3F5EB2919CA58CB403CDC5521CC88991d4DCL" TargetMode = "External"/>
	<Relationship Id="rId257" Type="http://schemas.openxmlformats.org/officeDocument/2006/relationships/hyperlink" Target="consultantplus://offline/ref=7C23C2F838E949EF0AB3B3884584E8FFF57A2925F06C92AEF0D1E8FF78526234430F42B16FD2A0B53A21B34D3B5EB2919CA58CB403CDC5521CC88991d4DCL" TargetMode = "External"/>
	<Relationship Id="rId258" Type="http://schemas.openxmlformats.org/officeDocument/2006/relationships/hyperlink" Target="consultantplus://offline/ref=7C23C2F838E949EF0AB3B3884584E8FFF57A2925F06C92AEF0D1E8FF78526234430F42B16FD2A0B53A21B44C3F5EB2919CA58CB403CDC5521CC88991d4DCL" TargetMode = "External"/>
	<Relationship Id="rId259" Type="http://schemas.openxmlformats.org/officeDocument/2006/relationships/hyperlink" Target="consultantplus://offline/ref=7C23C2F838E949EF0AB3B3884584E8FFF57A2925F06C92AEF0D1E8FF78526234430F42B16FD2A0B53A21B44C3F5EB2919CA58CB403CDC5521CC88991d4DCL" TargetMode = "External"/>
	<Relationship Id="rId260" Type="http://schemas.openxmlformats.org/officeDocument/2006/relationships/hyperlink" Target="consultantplus://offline/ref=7C23C2F838E949EF0AB3B3884584E8FFF57A2925F06C92AEF0D1E8FF78526234430F42B16FD2A0B53A21B44C3F5EB2919CA58CB403CDC5521CC88991d4DCL" TargetMode = "External"/>
	<Relationship Id="rId261" Type="http://schemas.openxmlformats.org/officeDocument/2006/relationships/hyperlink" Target="consultantplus://offline/ref=7C23C2F838E949EF0AB3B3884584E8FFF57A2925F06C92AEF0D1E8FF78526234430F42B16FD2A0B53A20B748345EB2919CA58CB403CDC5521CC88991d4DCL" TargetMode = "External"/>
	<Relationship Id="rId262" Type="http://schemas.openxmlformats.org/officeDocument/2006/relationships/hyperlink" Target="consultantplus://offline/ref=7C23C2F838E949EF0AB3B3884584E8FFF57A2925F0619FA6FFDFE8FF78526234430F42B16FD2A0B53A21B74D355EB2919CA58CB403CDC5521CC88991d4DCL" TargetMode = "External"/>
	<Relationship Id="rId263" Type="http://schemas.openxmlformats.org/officeDocument/2006/relationships/hyperlink" Target="consultantplus://offline/ref=7C23C2F838E949EF0AB3B3884584E8FFF57A2925F06C92AEF0D1E8FF78526234430F42B16FD2A0B53A21B44C3F5EB2919CA58CB403CDC5521CC88991d4DCL" TargetMode = "External"/>
	<Relationship Id="rId264" Type="http://schemas.openxmlformats.org/officeDocument/2006/relationships/hyperlink" Target="consultantplus://offline/ref=7C23C2F838E949EF0AB3B3884584E8FFF57A2925F06C92AEF0D1E8FF78526234430F42B16FD2A0B53A20B74D3C5EB2919CA58CB403CDC5521CC88991d4DCL" TargetMode = "External"/>
	<Relationship Id="rId265" Type="http://schemas.openxmlformats.org/officeDocument/2006/relationships/hyperlink" Target="consultantplus://offline/ref=7C23C2F838E949EF0AB3B3884584E8FFF57A2925F0629EAAF9DBE8FF78526234430F42B16FD2A0B53A21B74E345EB2919CA58CB403CDC5521CC88991d4DCL" TargetMode = "External"/>
	<Relationship Id="rId266" Type="http://schemas.openxmlformats.org/officeDocument/2006/relationships/hyperlink" Target="consultantplus://offline/ref=7C23C2F838E949EF0AB3B3884584E8FFF57A2925F0629EAEFDDCE8FF78526234430F42B16FD2A0B53A21B74F3E5EB2919CA58CB403CDC5521CC88991d4DCL" TargetMode = "External"/>
	<Relationship Id="rId267" Type="http://schemas.openxmlformats.org/officeDocument/2006/relationships/hyperlink" Target="consultantplus://offline/ref=7C23C2F838E949EF0AB3AD8553E8BFF0F7737528F16C90F9A48DEEA827026461034F44E42C96ADB1382AE31D7800EBC2DEEE80B71BD1C451d0D1L" TargetMode = "External"/>
	<Relationship Id="rId268" Type="http://schemas.openxmlformats.org/officeDocument/2006/relationships/hyperlink" Target="consultantplus://offline/ref=7C23C2F838E949EF0AB3AD8553E8BFF0F7757F2EFA6C90F9A48DEEA827026461114F1CE82E90B3B53B3FB54C3Ed5D6L" TargetMode = "External"/>
	<Relationship Id="rId269" Type="http://schemas.openxmlformats.org/officeDocument/2006/relationships/hyperlink" Target="consultantplus://offline/ref=7C23C2F838E949EF0AB3B3884584E8FFF57A2925F0629EAEFDDCE8FF78526234430F42B16FD2A0B53A21B74F385EB2919CA58CB403CDC5521CC88991d4DCL" TargetMode = "External"/>
	<Relationship Id="rId270" Type="http://schemas.openxmlformats.org/officeDocument/2006/relationships/hyperlink" Target="consultantplus://offline/ref=7C23C2F838E949EF0AB3B3884584E8FFF57A2925F06C9FA9FDD0E8FF78526234430F42B16FD2A0B53A21B74D385EB2919CA58CB403CDC5521CC88991d4DCL" TargetMode = "External"/>
	<Relationship Id="rId271" Type="http://schemas.openxmlformats.org/officeDocument/2006/relationships/hyperlink" Target="consultantplus://offline/ref=7C23C2F838E949EF0AB3B3884584E8FFF57A2925F0619FA6FFDFE8FF78526234430F42B16FD2A0B53A21B74E3D5EB2919CA58CB403CDC5521CC88991d4DCL" TargetMode = "External"/>
	<Relationship Id="rId272" Type="http://schemas.openxmlformats.org/officeDocument/2006/relationships/hyperlink" Target="consultantplus://offline/ref=7C23C2F838E949EF0AB3B3884584E8FFF57A2925F0629EAAF9DBE8FF78526234430F42B16FD2A0B53A21B74F3D5EB2919CA58CB403CDC5521CC88991d4DCL" TargetMode = "External"/>
	<Relationship Id="rId273" Type="http://schemas.openxmlformats.org/officeDocument/2006/relationships/hyperlink" Target="consultantplus://offline/ref=7C23C2F838E949EF0AB3B3884584E8FFF57A2925F0629EAEFDDCE8FF78526234430F42B16FD2A0B53A21B74F3A5EB2919CA58CB403CDC5521CC88991d4DCL" TargetMode = "External"/>
	<Relationship Id="rId274" Type="http://schemas.openxmlformats.org/officeDocument/2006/relationships/hyperlink" Target="consultantplus://offline/ref=7C23C2F838E949EF0AB3B3884584E8FFF57A2925F0629EAAF9DBE8FF78526234430F42B16FD2A0B53A21B74F3E5EB2919CA58CB403CDC5521CC88991d4DCL" TargetMode = "External"/>
	<Relationship Id="rId275" Type="http://schemas.openxmlformats.org/officeDocument/2006/relationships/hyperlink" Target="consultantplus://offline/ref=7C23C2F838E949EF0AB3B3884584E8FFF57A2925F0619FA6FFDFE8FF78526234430F42B16FD2A0B53A21B74E395EB2919CA58CB403CDC5521CC88991d4DCL" TargetMode = "External"/>
	<Relationship Id="rId276" Type="http://schemas.openxmlformats.org/officeDocument/2006/relationships/hyperlink" Target="consultantplus://offline/ref=7C23C2F838E949EF0AB3B3884584E8FFF57A2925F0629EAEFDDCE8FF78526234430F42B16FD2A0B53A21B74F3B5EB2919CA58CB403CDC5521CC88991d4DCL" TargetMode = "External"/>
	<Relationship Id="rId277" Type="http://schemas.openxmlformats.org/officeDocument/2006/relationships/hyperlink" Target="consultantplus://offline/ref=7C23C2F838E949EF0AB3AD8553E8BFF0F7757128F46C90F9A48DEEA827026461034F44E42C96ACB2332AE31D7800EBC2DEEE80B71BD1C451d0D1L" TargetMode = "External"/>
	<Relationship Id="rId278" Type="http://schemas.openxmlformats.org/officeDocument/2006/relationships/hyperlink" Target="consultantplus://offline/ref=7C23C2F838E949EF0AB3B3884584E8FFF57A2925F0629EAEFDDCE8FF78526234430F42B16FD2A0B53A21B74F345EB2919CA58CB403CDC5521CC88991d4DCL" TargetMode = "External"/>
	<Relationship Id="rId279" Type="http://schemas.openxmlformats.org/officeDocument/2006/relationships/hyperlink" Target="consultantplus://offline/ref=7C23C2F838E949EF0AB3B3884584E8FFF57A2925F0629EAAF9DBE8FF78526234430F42B16FD2A0B53A21B74F385EB2919CA58CB403CDC5521CC88991d4DCL" TargetMode = "External"/>
	<Relationship Id="rId280" Type="http://schemas.openxmlformats.org/officeDocument/2006/relationships/hyperlink" Target="consultantplus://offline/ref=7C23C2F838E949EF0AB3B3884584E8FFF57A2925F0629EAEFDDCE8FF78526234430F42B16FD2A0B53A21B74F355EB2919CA58CB403CDC5521CC88991d4DCL" TargetMode = "External"/>
	<Relationship Id="rId281" Type="http://schemas.openxmlformats.org/officeDocument/2006/relationships/hyperlink" Target="consultantplus://offline/ref=7C23C2F838E949EF0AB3B3884584E8FFF57A2925F0619FA6FFDFE8FF78526234430F42B16FD2A0B53A21B74E3A5EB2919CA58CB403CDC5521CC88991d4DCL" TargetMode = "External"/>
	<Relationship Id="rId282" Type="http://schemas.openxmlformats.org/officeDocument/2006/relationships/hyperlink" Target="consultantplus://offline/ref=7C23C2F838E949EF0AB3B3884584E8FFF57A2925F0629EAAF9DBE8FF78526234430F42B16FD2A0B53A21B74F3A5EB2919CA58CB403CDC5521CC88991d4DCL" TargetMode = "External"/>
	<Relationship Id="rId283" Type="http://schemas.openxmlformats.org/officeDocument/2006/relationships/hyperlink" Target="consultantplus://offline/ref=7C23C2F838E949EF0AB3B3884584E8FFF57A2925F06C92AEF0D1E8FF78526234430F42B16FD2A0B53A20B74D3C5EB2919CA58CB403CDC5521CC88991d4DCL" TargetMode = "External"/>
	<Relationship Id="rId284" Type="http://schemas.openxmlformats.org/officeDocument/2006/relationships/hyperlink" Target="consultantplus://offline/ref=7C23C2F838E949EF0AB3B3884584E8FFF57A2925F0619FA6FFDFE8FF78526234430F42B16FD2A0B53A21B74E3B5EB2919CA58CB403CDC5521CC88991d4DCL" TargetMode = "External"/>
	<Relationship Id="rId285" Type="http://schemas.openxmlformats.org/officeDocument/2006/relationships/hyperlink" Target="consultantplus://offline/ref=7C23C2F838E949EF0AB3B3884584E8FFF57A2925F06C92AEF0D1E8FF78526234430F42B16FD2A0B53A21B44C3F5EB2919CA58CB403CDC5521CC88991d4DCL" TargetMode = "External"/>
	<Relationship Id="rId286" Type="http://schemas.openxmlformats.org/officeDocument/2006/relationships/hyperlink" Target="consultantplus://offline/ref=7C23C2F838E949EF0AB3B3884584E8FFF57A2925F06C92AEF0D1E8FF78526234430F42B16FD2A0B53A20B74D3C5EB2919CA58CB403CDC5521CC88991d4DCL" TargetMode = "External"/>
	<Relationship Id="rId287" Type="http://schemas.openxmlformats.org/officeDocument/2006/relationships/hyperlink" Target="consultantplus://offline/ref=7C23C2F838E949EF0AB3AD8553E8BFF0F772742BF26090F9A48DEEA827026461034F44E42C97AABD322AE31D7800EBC2DEEE80B71BD1C451d0D1L" TargetMode = "External"/>
	<Relationship Id="rId288" Type="http://schemas.openxmlformats.org/officeDocument/2006/relationships/hyperlink" Target="consultantplus://offline/ref=7C23C2F838E949EF0AB3B3884584E8FFF57A2925F06C92AEF0D1E8FF78526234430F42B16FD2A0B53A21B44C3F5EB2919CA58CB403CDC5521CC88991d4DCL" TargetMode = "External"/>
	<Relationship Id="rId289" Type="http://schemas.openxmlformats.org/officeDocument/2006/relationships/hyperlink" Target="consultantplus://offline/ref=7C23C2F838E949EF0AB3B3884584E8FFF57A2925F0619FA6FFDFE8FF78526234430F42B16FD2A0B53A21B74E345EB2919CA58CB403CDC5521CC88991d4DCL" TargetMode = "External"/>
	<Relationship Id="rId290" Type="http://schemas.openxmlformats.org/officeDocument/2006/relationships/hyperlink" Target="consultantplus://offline/ref=7C23C2F838E949EF0AB3B3884584E8FFF57A2925F0639FAAFFDDE8FF78526234430F42B16FD2A0B53A21B74D395EB2919CA58CB403CDC5521CC88991d4DCL" TargetMode = "External"/>
	<Relationship Id="rId291" Type="http://schemas.openxmlformats.org/officeDocument/2006/relationships/hyperlink" Target="consultantplus://offline/ref=7C23C2F838E949EF0AB3B3884584E8FFF57A2925F0619FA6FFDFE8FF78526234430F42B16FD2A0B53A21B74F3D5EB2919CA58CB403CDC5521CC88991d4DCL" TargetMode = "External"/>
	<Relationship Id="rId292" Type="http://schemas.openxmlformats.org/officeDocument/2006/relationships/hyperlink" Target="consultantplus://offline/ref=7C23C2F838E949EF0AB3AD8553E8BFF0F7737528F16C90F9A48DEEA827026461034F44E42C96ACBD3E2AE31D7800EBC2DEEE80B71BD1C451d0D1L" TargetMode = "External"/>
	<Relationship Id="rId293" Type="http://schemas.openxmlformats.org/officeDocument/2006/relationships/hyperlink" Target="consultantplus://offline/ref=7C23C2F838E949EF0AB3B3884584E8FFF57A2925F0629CADFEDBE8FF78526234430F42B16FD2A0B53A21B74D3E5EB2919CA58CB403CDC5521CC88991d4DCL" TargetMode = "External"/>
	<Relationship Id="rId294" Type="http://schemas.openxmlformats.org/officeDocument/2006/relationships/hyperlink" Target="consultantplus://offline/ref=7C23C2F838E949EF0AB3B3884584E8FFF57A2925F0629CADFEDBE8FF78526234430F42B16FD2A0B53A21B74D385EB2919CA58CB403CDC5521CC88991d4DCL" TargetMode = "External"/>
	<Relationship Id="rId295" Type="http://schemas.openxmlformats.org/officeDocument/2006/relationships/hyperlink" Target="consultantplus://offline/ref=7C23C2F838E949EF0AB3AD8553E8BFF0F7737528F16C90F9A48DEEA827026461034F44E42C96ACBD3E2AE31D7800EBC2DEEE80B71BD1C451d0D1L" TargetMode = "External"/>
	<Relationship Id="rId296" Type="http://schemas.openxmlformats.org/officeDocument/2006/relationships/hyperlink" Target="consultantplus://offline/ref=7C23C2F838E949EF0AB3B3884584E8FFF57A2925F0629CADFEDBE8FF78526234430F42B16FD2A0B53A21B74D3A5EB2919CA58CB403CDC5521CC88991d4DCL" TargetMode = "External"/>
	<Relationship Id="rId297" Type="http://schemas.openxmlformats.org/officeDocument/2006/relationships/hyperlink" Target="consultantplus://offline/ref=7C23C2F838E949EF0AB3AD8553E8BFF0F772742BF26090F9A48DEEA827026461114F1CE82E90B3B53B3FB54C3Ed5D6L" TargetMode = "External"/>
	<Relationship Id="rId298" Type="http://schemas.openxmlformats.org/officeDocument/2006/relationships/hyperlink" Target="consultantplus://offline/ref=7C23C2F838E949EF0AB3B3884584E8FFF57A2925F0629EAAF9DBE8FF78526234430F42B16FD2A0B53A21B7483B5EB2919CA58CB403CDC5521CC88991d4DCL" TargetMode = "External"/>
	<Relationship Id="rId299" Type="http://schemas.openxmlformats.org/officeDocument/2006/relationships/hyperlink" Target="consultantplus://offline/ref=7C23C2F838E949EF0AB3B3884584E8FFF57A2925F0629EAAF9DBE8FF78526234430F42B16FD2A0B53A21B748355EB2919CA58CB403CDC5521CC88991d4DCL" TargetMode = "External"/>
	<Relationship Id="rId300" Type="http://schemas.openxmlformats.org/officeDocument/2006/relationships/hyperlink" Target="consultantplus://offline/ref=7C23C2F838E949EF0AB3B3884584E8FFF57A2925F0629EAAF9DBE8FF78526234430F42B16FD2A0B53A21B7493D5EB2919CA58CB403CDC5521CC88991d4DCL" TargetMode = "External"/>
	<Relationship Id="rId301" Type="http://schemas.openxmlformats.org/officeDocument/2006/relationships/hyperlink" Target="consultantplus://offline/ref=7C23C2F838E949EF0AB3B3884584E8FFF57A2925F06193AAF0DBE8FF78526234430F42B16FD2A0B53A21B74C3B5EB2919CA58CB403CDC5521CC88991d4DCL" TargetMode = "External"/>
	<Relationship Id="rId302" Type="http://schemas.openxmlformats.org/officeDocument/2006/relationships/hyperlink" Target="consultantplus://offline/ref=7C23C2F838E949EF0AB3B3884584E8FFF57A2925F0629EAAF9DBE8FF78526234430F42B16FD2A0B53A21B749385EB2919CA58CB403CDC5521CC88991d4DCL" TargetMode = "External"/>
	<Relationship Id="rId303" Type="http://schemas.openxmlformats.org/officeDocument/2006/relationships/hyperlink" Target="consultantplus://offline/ref=7C23C2F838E949EF0AB3B3884584E8FFF57A2925F0629EAAF9DBE8FF78526234430F42B16FD2A0B53A21B749395EB2919CA58CB403CDC5521CC88991d4DCL" TargetMode = "External"/>
	<Relationship Id="rId304" Type="http://schemas.openxmlformats.org/officeDocument/2006/relationships/hyperlink" Target="consultantplus://offline/ref=7C23C2F838E949EF0AB3B3884584E8FFF57A2925F06193AAF0DBE8FF78526234430F42B16FD2A0B53A21B74C3B5EB2919CA58CB403CDC5521CC88991d4DCL" TargetMode = "External"/>
	<Relationship Id="rId305" Type="http://schemas.openxmlformats.org/officeDocument/2006/relationships/hyperlink" Target="consultantplus://offline/ref=7C23C2F838E949EF0AB3B3884584E8FFF57A2925F0629EAAF9DBE8FF78526234430F42B16FD2A0B53A21B7493A5EB2919CA58CB403CDC5521CC88991d4DCL" TargetMode = "External"/>
	<Relationship Id="rId306" Type="http://schemas.openxmlformats.org/officeDocument/2006/relationships/hyperlink" Target="consultantplus://offline/ref=7C23C2F838E949EF0AB3B3884584E8FFF57A2925F0629CADFEDBE8FF78526234430F42B16FD2A0B53A21B74D3B5EB2919CA58CB403CDC5521CC88991d4DCL" TargetMode = "External"/>
	<Relationship Id="rId307" Type="http://schemas.openxmlformats.org/officeDocument/2006/relationships/hyperlink" Target="consultantplus://offline/ref=7C23C2F838E949EF0AB3B3884584E8FFF57A2925F0629CADFEDBE8FF78526234430F42B16FD2A0B53A21B74D345EB2919CA58CB403CDC5521CC88991d4DCL" TargetMode = "External"/>
	<Relationship Id="rId308" Type="http://schemas.openxmlformats.org/officeDocument/2006/relationships/hyperlink" Target="consultantplus://offline/ref=7C23C2F838E949EF0AB3B3884584E8FFF57A2925F06C92AEF0D1E8FF78526234430F42B16FD2A0B53A21B54A385EB2919CA58CB403CDC5521CC88991d4DCL" TargetMode = "External"/>
	<Relationship Id="rId309" Type="http://schemas.openxmlformats.org/officeDocument/2006/relationships/hyperlink" Target="consultantplus://offline/ref=7C23C2F838E949EF0AB3B3884584E8FFF57A2925F06C92AEF0D1E8FF78526234430F42B16FD2A0B53A20B74C355EB2919CA58CB403CDC5521CC88991d4DCL" TargetMode = "External"/>
	<Relationship Id="rId310" Type="http://schemas.openxmlformats.org/officeDocument/2006/relationships/hyperlink" Target="consultantplus://offline/ref=7C23C2F838E949EF0AB3B3884584E8FFF57A2925F0629EAAF9DBE8FF78526234430F42B16FD2A0B53A21B749345EB2919CA58CB403CDC5521CC88991d4DCL" TargetMode = "External"/>
	<Relationship Id="rId311" Type="http://schemas.openxmlformats.org/officeDocument/2006/relationships/hyperlink" Target="consultantplus://offline/ref=7C23C2F838E949EF0AB3B3884584E8FFF57A2925F0629EAAF9DBE8FF78526234430F42B16FD2A0B53A21B74A3D5EB2919CA58CB403CDC5521CC88991d4DCL" TargetMode = "External"/>
	<Relationship Id="rId312" Type="http://schemas.openxmlformats.org/officeDocument/2006/relationships/hyperlink" Target="consultantplus://offline/ref=7C23C2F838E949EF0AB3B3884584E8FFF57A2925F0629EAAF9DBE8FF78526234430F42B16FD2A0B53A21B74A3F5EB2919CA58CB403CDC5521CC88991d4DCL" TargetMode = "External"/>
	<Relationship Id="rId313" Type="http://schemas.openxmlformats.org/officeDocument/2006/relationships/hyperlink" Target="consultantplus://offline/ref=7C23C2F838E949EF0AB3B3884584E8FFF57A2925F0639EAAFADCE8FF78526234430F42B16FD2A0B53A21B74C395EB2919CA58CB403CDC5521CC88991d4DCL" TargetMode = "External"/>
	<Relationship Id="rId314" Type="http://schemas.openxmlformats.org/officeDocument/2006/relationships/hyperlink" Target="consultantplus://offline/ref=7C23C2F838E949EF0AB3B3884584E8FFF57A2925F0639EAAFADCE8FF78526234430F42B16FD2A0B53A21B74C395EB2919CA58CB403CDC5521CC88991d4DCL" TargetMode = "External"/>
	<Relationship Id="rId315" Type="http://schemas.openxmlformats.org/officeDocument/2006/relationships/hyperlink" Target="consultantplus://offline/ref=7C23C2F838E949EF0AB3B3884584E8FFF57A2925F0639EAAFADCE8FF78526234430F42B16FD2A0B53A21B74C395EB2919CA58CB403CDC5521CC88991d4DCL" TargetMode = "External"/>
	<Relationship Id="rId316" Type="http://schemas.openxmlformats.org/officeDocument/2006/relationships/hyperlink" Target="consultantplus://offline/ref=7C23C2F838E949EF0AB3B3884584E8FFF57A2925F0619FA6FFDFE8FF78526234430F42B16FD2A0B53A21B74B3A5EB2919CA58CB403CDC5521CC88991d4DCL" TargetMode = "External"/>
	<Relationship Id="rId317" Type="http://schemas.openxmlformats.org/officeDocument/2006/relationships/hyperlink" Target="consultantplus://offline/ref=7C23C2F838E949EF0AB3B3884584E8FFF57A2925F0619DAEFEDFE8FF78526234430F42B16FD2A0B53A21B74F385EB2919CA58CB403CDC5521CC88991d4DCL" TargetMode = "External"/>
	<Relationship Id="rId318" Type="http://schemas.openxmlformats.org/officeDocument/2006/relationships/hyperlink" Target="consultantplus://offline/ref=7C23C2F838E949EF0AB3B3884584E8FFF57A2925F0629EAEFDDCE8FF78526234430F42B16FD2A0B53A21B749355EB2919CA58CB403CDC5521CC88991d4DCL" TargetMode = "External"/>
	<Relationship Id="rId319" Type="http://schemas.openxmlformats.org/officeDocument/2006/relationships/hyperlink" Target="consultantplus://offline/ref=7C23C2F838E949EF0AB3B3884584E8FFF57A2925F06292A7FCD0E8FF78526234430F42B16FD2A0B53A21B74C3A5EB2919CA58CB403CDC5521CC88991d4DCL" TargetMode = "External"/>
	<Relationship Id="rId320" Type="http://schemas.openxmlformats.org/officeDocument/2006/relationships/hyperlink" Target="consultantplus://offline/ref=7C23C2F838E949EF0AB3B3884584E8FFF57A2925F06D9BAEFEDCE8FF78526234430F42B16FD2A0B53A21B74E3B5EB2919CA58CB403CDC5521CC88991d4DCL" TargetMode = "External"/>
	<Relationship Id="rId321" Type="http://schemas.openxmlformats.org/officeDocument/2006/relationships/hyperlink" Target="consultantplus://offline/ref=7C23C2F838E949EF0AB3B3884584E8FFF57A2925F0639FAAFFDDE8FF78526234430F42B16FD2A0B53A21B74D3A5EB2919CA58CB403CDC5521CC88991d4DCL" TargetMode = "External"/>
	<Relationship Id="rId322" Type="http://schemas.openxmlformats.org/officeDocument/2006/relationships/hyperlink" Target="consultantplus://offline/ref=7C23C2F838E949EF0AB3B3884584E8FFF57A2925F06C98ACF0DBE8FF78526234430F42B16FD2A0B53A21B7453E5EB2919CA58CB403CDC5521CC88991d4DCL" TargetMode = "External"/>
	<Relationship Id="rId323" Type="http://schemas.openxmlformats.org/officeDocument/2006/relationships/hyperlink" Target="consultantplus://offline/ref=7C23C2F838E949EF0AB3B3884584E8FFF57A2925F06C92AEF0D1E8FF78526234430F42B16FD2A0B53A21B54A395EB2919CA58CB403CDC5521CC88991d4DCL" TargetMode = "External"/>
	<Relationship Id="rId324" Type="http://schemas.openxmlformats.org/officeDocument/2006/relationships/hyperlink" Target="consultantplus://offline/ref=7C23C2F838E949EF0AB3B3884584E8FFF57A2925F0619FA6FFDFE8FF78526234430F42B16FD2A0B53A21B74B3B5EB2919CA58CB403CDC5521CC88991d4DCL" TargetMode = "External"/>
	<Relationship Id="rId325" Type="http://schemas.openxmlformats.org/officeDocument/2006/relationships/hyperlink" Target="consultantplus://offline/ref=7C23C2F838E949EF0AB3B3884584E8FFF57A2925F06C98ACF0DBE8FF78526234430F42B16FD2A0B53A21B745385EB2919CA58CB403CDC5521CC88991d4DCL" TargetMode = "External"/>
	<Relationship Id="rId326" Type="http://schemas.openxmlformats.org/officeDocument/2006/relationships/hyperlink" Target="consultantplus://offline/ref=7C23C2F838E949EF0AB3B3884584E8FFF57A2925F0619DAEFEDFE8FF78526234430F42B16FD2A0B53A21B74F3B5EB2919CA58CB403CDC5521CC88991d4DCL" TargetMode = "External"/>
	<Relationship Id="rId327" Type="http://schemas.openxmlformats.org/officeDocument/2006/relationships/hyperlink" Target="consultantplus://offline/ref=7C23C2F838E949EF0AB3B3884584E8FFF57A2925F0619DAEFEDFE8FF78526234430F42B16FD2A0B53A21B74F345EB2919CA58CB403CDC5521CC88991d4DCL" TargetMode = "External"/>
	<Relationship Id="rId328" Type="http://schemas.openxmlformats.org/officeDocument/2006/relationships/hyperlink" Target="consultantplus://offline/ref=7C23C2F838E949EF0AB3B3884584E8FFF57A2925F0619DAEFEDFE8FF78526234430F42B16FD2A0B53A21B7483C5EB2919CA58CB403CDC5521CC88991d4DCL" TargetMode = "External"/>
	<Relationship Id="rId329" Type="http://schemas.openxmlformats.org/officeDocument/2006/relationships/hyperlink" Target="consultantplus://offline/ref=7C23C2F838E949EF0AB3B3884584E8FFF57A2925F06C98ACF0DBE8FF78526234430F42B16FD2A0B53A21B745395EB2919CA58CB403CDC5521CC88991d4DCL" TargetMode = "External"/>
	<Relationship Id="rId330" Type="http://schemas.openxmlformats.org/officeDocument/2006/relationships/hyperlink" Target="consultantplus://offline/ref=7C23C2F838E949EF0AB3B3884584E8FFF57A2925F0619DAEFEDFE8FF78526234430F42B16FD2A0B53A21B7483D5EB2919CA58CB403CDC5521CC88991d4DCL" TargetMode = "External"/>
	<Relationship Id="rId331" Type="http://schemas.openxmlformats.org/officeDocument/2006/relationships/hyperlink" Target="consultantplus://offline/ref=7C23C2F838E949EF0AB3B3884584E8FFF57A2925F0629EAEFDDCE8FF78526234430F42B16FD2A0B53A21B74A3D5EB2919CA58CB403CDC5521CC88991d4DCL" TargetMode = "External"/>
	<Relationship Id="rId332" Type="http://schemas.openxmlformats.org/officeDocument/2006/relationships/hyperlink" Target="consultantplus://offline/ref=7C23C2F838E949EF0AB3B3884584E8FFF57A2925F06D9BAEFEDCE8FF78526234430F42B16FD2A0B53A21B74E355EB2919CA58CB403CDC5521CC88991d4DCL" TargetMode = "External"/>
	<Relationship Id="rId333" Type="http://schemas.openxmlformats.org/officeDocument/2006/relationships/hyperlink" Target="consultantplus://offline/ref=7C23C2F838E949EF0AB3B3884584E8FFF57A2925F0629EAEFDDCE8FF78526234430F42B16FD2A0B53A21B74A3E5EB2919CA58CB403CDC5521CC88991d4DCL" TargetMode = "External"/>
	<Relationship Id="rId334" Type="http://schemas.openxmlformats.org/officeDocument/2006/relationships/hyperlink" Target="consultantplus://offline/ref=7C23C2F838E949EF0AB3B3884584E8FFF57A2925F0619DAEFEDFE8FF78526234430F42B16FD2A0B53A21B7483F5EB2919CA58CB403CDC5521CC88991d4DCL" TargetMode = "External"/>
	<Relationship Id="rId335" Type="http://schemas.openxmlformats.org/officeDocument/2006/relationships/hyperlink" Target="consultantplus://offline/ref=7C23C2F838E949EF0AB3AD8553E8BFF0F772702CF26D90F9A48DEEA827026461034F44E42C96ADB7392AE31D7800EBC2DEEE80B71BD1C451d0D1L" TargetMode = "External"/>
	<Relationship Id="rId336" Type="http://schemas.openxmlformats.org/officeDocument/2006/relationships/hyperlink" Target="consultantplus://offline/ref=7C23C2F838E949EF0AB3B3884584E8FFF57A2925F0629EAEFDDCE8FF78526234430F42B16FD2A0B53A21B74A385EB2919CA58CB403CDC5521CC88991d4DCL" TargetMode = "External"/>
	<Relationship Id="rId337" Type="http://schemas.openxmlformats.org/officeDocument/2006/relationships/hyperlink" Target="consultantplus://offline/ref=7C23C2F838E949EF0AB3B3884584E8FFF57A2925F06D9BAEFEDCE8FF78526234430F42B16FD2A0B53A21B74F3C5EB2919CA58CB403CDC5521CC88991d4DCL" TargetMode = "External"/>
	<Relationship Id="rId338" Type="http://schemas.openxmlformats.org/officeDocument/2006/relationships/hyperlink" Target="consultantplus://offline/ref=7C23C2F838E949EF0AB3B3884584E8FFF57A2925F0619DAEFEDFE8FF78526234430F42B16FD2A0B53A21B748385EB2919CA58CB403CDC5521CC88991d4DCL" TargetMode = "External"/>
	<Relationship Id="rId339" Type="http://schemas.openxmlformats.org/officeDocument/2006/relationships/hyperlink" Target="consultantplus://offline/ref=7C23C2F838E949EF0AB3B3884584E8FFF57A2925F0619DAEFEDFE8FF78526234430F42B16FD2A0B53A21B7493E5EB2919CA58CB403CDC5521CC88991d4DCL" TargetMode = "External"/>
	<Relationship Id="rId340" Type="http://schemas.openxmlformats.org/officeDocument/2006/relationships/hyperlink" Target="consultantplus://offline/ref=7C23C2F838E949EF0AB3B3884584E8FFF57A2925F0619DAEFEDFE8FF78526234430F42B16FD2A0B53A21B7493F5EB2919CA58CB403CDC5521CC88991d4DCL" TargetMode = "External"/>
	<Relationship Id="rId341" Type="http://schemas.openxmlformats.org/officeDocument/2006/relationships/hyperlink" Target="consultantplus://offline/ref=7C23C2F838E949EF0AB3B3884584E8FFF57A2925F0619FA6FFDFE8FF78526234430F42B16FD2A0B53A21B74B355EB2919CA58CB403CDC5521CC88991d4DCL" TargetMode = "External"/>
	<Relationship Id="rId342" Type="http://schemas.openxmlformats.org/officeDocument/2006/relationships/hyperlink" Target="consultantplus://offline/ref=7C23C2F838E949EF0AB3B3884584E8FFF57A2925F0629EAEFDDCE8FF78526234430F42B16FD2A0B53A21B74A3B5EB2919CA58CB403CDC5521CC88991d4DCL" TargetMode = "External"/>
	<Relationship Id="rId343" Type="http://schemas.openxmlformats.org/officeDocument/2006/relationships/hyperlink" Target="consultantplus://offline/ref=7C23C2F838E949EF0AB3B3884584E8FFF57A2925F0629EAEFDDCE8FF78526234430F42B16FD2A0B53A21B74A355EB2919CA58CB403CDC5521CC88991d4DCL" TargetMode = "External"/>
	<Relationship Id="rId344" Type="http://schemas.openxmlformats.org/officeDocument/2006/relationships/hyperlink" Target="consultantplus://offline/ref=7C23C2F838E949EF0AB3AD8553E8BFF0F7747520F56D90F9A48DEEA827026461114F1CE82E90B3B53B3FB54C3Ed5D6L" TargetMode = "External"/>
	<Relationship Id="rId345" Type="http://schemas.openxmlformats.org/officeDocument/2006/relationships/hyperlink" Target="consultantplus://offline/ref=7C23C2F838E949EF0AB3B3884584E8FFF57A2925F0629EAEFDDCE8FF78526234430F42B16FD2A0B53A21B74B3D5EB2919CA58CB403CDC5521CC88991d4DCL" TargetMode = "External"/>
	<Relationship Id="rId346" Type="http://schemas.openxmlformats.org/officeDocument/2006/relationships/hyperlink" Target="consultantplus://offline/ref=7C23C2F838E949EF0AB3B3884584E8FFF57A2925F0619FA6FFDFE8FF78526234430F42B16FD2A0B53A21B7443D5EB2919CA58CB403CDC5521CC88991d4DCL" TargetMode = "External"/>
	<Relationship Id="rId347" Type="http://schemas.openxmlformats.org/officeDocument/2006/relationships/hyperlink" Target="consultantplus://offline/ref=7C23C2F838E949EF0AB3B3884584E8FFF57A2925F0619FA6FFDFE8FF78526234430F42B16FD2A0B53A21B7443E5EB2919CA58CB403CDC5521CC88991d4DCL" TargetMode = "External"/>
	<Relationship Id="rId348" Type="http://schemas.openxmlformats.org/officeDocument/2006/relationships/hyperlink" Target="consultantplus://offline/ref=7C23C2F838E949EF0AB3B3884584E8FFF57A2925F0639FAAFFDDE8FF78526234430F42B16FD2A0B53A21B74D3B5EB2919CA58CB403CDC5521CC88991d4DCL" TargetMode = "External"/>
	<Relationship Id="rId349" Type="http://schemas.openxmlformats.org/officeDocument/2006/relationships/hyperlink" Target="consultantplus://offline/ref=7C23C2F838E949EF0AB3B3884584E8FFF57A2925F0619FA6FFDFE8FF78526234430F42B16FD2A0B53A21B744385EB2919CA58CB403CDC5521CC88991d4DCL" TargetMode = "External"/>
	<Relationship Id="rId350" Type="http://schemas.openxmlformats.org/officeDocument/2006/relationships/hyperlink" Target="consultantplus://offline/ref=7C23C2F838E949EF0AB3B3884584E8FFF57A2925F0619FA6FFDFE8FF78526234430F42B16FD2A0B53A21B744395EB2919CA58CB403CDC5521CC88991d4DCL" TargetMode = "External"/>
	<Relationship Id="rId351" Type="http://schemas.openxmlformats.org/officeDocument/2006/relationships/hyperlink" Target="consultantplus://offline/ref=7C23C2F838E949EF0AB3B3884584E8FFF57A2925F0629EAEFDDCE8FF78526234430F42B16FD2A0B53A21B74B3F5EB2919CA58CB403CDC5521CC88991d4DCL" TargetMode = "External"/>
	<Relationship Id="rId352" Type="http://schemas.openxmlformats.org/officeDocument/2006/relationships/hyperlink" Target="consultantplus://offline/ref=7C23C2F838E949EF0AB3B3884584E8FFF57A2925F0629EAEFDDCE8FF78526234430F42B16FD2A0B53A21B74B385EB2919CA58CB403CDC5521CC88991d4DCL" TargetMode = "External"/>
	<Relationship Id="rId353" Type="http://schemas.openxmlformats.org/officeDocument/2006/relationships/hyperlink" Target="consultantplus://offline/ref=7C23C2F838E949EF0AB3B3884584E8FFF57A2925F0619DAEFEDFE8FF78526234430F42B16FD2A0B53A21B7493A5EB2919CA58CB403CDC5521CC88991d4DCL" TargetMode = "External"/>
	<Relationship Id="rId354" Type="http://schemas.openxmlformats.org/officeDocument/2006/relationships/hyperlink" Target="consultantplus://offline/ref=7C23C2F838E949EF0AB3B3884584E8FFF57A2925F0629EAEFDDCE8FF78526234430F42B16FD2A0B53A21B7443D5EB2919CA58CB403CDC5521CC88991d4DCL" TargetMode = "External"/>
	<Relationship Id="rId355" Type="http://schemas.openxmlformats.org/officeDocument/2006/relationships/hyperlink" Target="consultantplus://offline/ref=7C23C2F838E949EF0AB3B3884584E8FFF57A2925F06C98ACF0DBE8FF78526234430F42B16FD2A0B53A21B7453B5EB2919CA58CB403CDC5521CC88991d4DCL" TargetMode = "External"/>
	<Relationship Id="rId356" Type="http://schemas.openxmlformats.org/officeDocument/2006/relationships/hyperlink" Target="consultantplus://offline/ref=7C23C2F838E949EF0AB3B3884584E8FFF57A2925F0639FAAFFDDE8FF78526234430F42B16FD2A0B53A21B74D345EB2919CA58CB403CDC5521CC88991d4DCL" TargetMode = "External"/>
	<Relationship Id="rId357" Type="http://schemas.openxmlformats.org/officeDocument/2006/relationships/hyperlink" Target="consultantplus://offline/ref=7C23C2F838E949EF0AB3B3884584E8FFF57A2925F06C98ACF0DBE8FF78526234430F42B16FD2A0B53A21B64C3C5EB2919CA58CB403CDC5521CC88991d4DCL" TargetMode = "External"/>
	<Relationship Id="rId358" Type="http://schemas.openxmlformats.org/officeDocument/2006/relationships/hyperlink" Target="consultantplus://offline/ref=7C23C2F838E949EF0AB3B3884584E8FFF57A2925F06C98ACF0DBE8FF78526234430F42B16FD2A0B53A21B64C3D5EB2919CA58CB403CDC5521CC88991d4DCL" TargetMode = "External"/>
	<Relationship Id="rId359" Type="http://schemas.openxmlformats.org/officeDocument/2006/relationships/hyperlink" Target="consultantplus://offline/ref=7C23C2F838E949EF0AB3B3884584E8FFF57A2925F0629EAEFDDCE8FF78526234430F42B16FD2A0B53A21B7443E5EB2919CA58CB403CDC5521CC88991d4DCL" TargetMode = "External"/>
	<Relationship Id="rId360" Type="http://schemas.openxmlformats.org/officeDocument/2006/relationships/hyperlink" Target="consultantplus://offline/ref=7C23C2F838E949EF0AB3B3884584E8FFF57A2925F06C98ACF0DBE8FF78526234430F42B16FD2A0B53A21B64C3E5EB2919CA58CB403CDC5521CC88991d4DCL" TargetMode = "External"/>
	<Relationship Id="rId361" Type="http://schemas.openxmlformats.org/officeDocument/2006/relationships/hyperlink" Target="consultantplus://offline/ref=7C23C2F838E949EF0AB3B3884584E8FFF57A2925F0619FA6FFDFE8FF78526234430F42B16FD2A0B53A21B7443A5EB2919CA58CB403CDC5521CC88991d4DCL" TargetMode = "External"/>
	<Relationship Id="rId362" Type="http://schemas.openxmlformats.org/officeDocument/2006/relationships/hyperlink" Target="consultantplus://offline/ref=7C23C2F838E949EF0AB3B3884584E8FFF57A2925F06C98ACF0DBE8FF78526234430F42B16FD2A0B53A21B64C3F5EB2919CA58CB403CDC5521CC88991d4DCL" TargetMode = "External"/>
	<Relationship Id="rId363" Type="http://schemas.openxmlformats.org/officeDocument/2006/relationships/hyperlink" Target="consultantplus://offline/ref=7C23C2F838E949EF0AB3B3884584E8FFF57A2925F06C98ACF0DBE8FF78526234430F42B16FD2A0B53A21B64C395EB2919CA58CB403CDC5521CC88991d4DCL" TargetMode = "External"/>
	<Relationship Id="rId364" Type="http://schemas.openxmlformats.org/officeDocument/2006/relationships/hyperlink" Target="consultantplus://offline/ref=7C23C2F838E949EF0AB3B3884584E8FFF57A2925F0619FA6FFDFE8FF78526234430F42B16FD2A0B53A21B744355EB2919CA58CB403CDC5521CC88991d4DCL" TargetMode = "External"/>
	<Relationship Id="rId365" Type="http://schemas.openxmlformats.org/officeDocument/2006/relationships/hyperlink" Target="consultantplus://offline/ref=7C23C2F838E949EF0AB3B3884584E8FFF57A2925F0619DAEFEDFE8FF78526234430F42B16FD2A0B53A21B749345EB2919CA58CB403CDC5521CC88991d4DCL" TargetMode = "External"/>
	<Relationship Id="rId366" Type="http://schemas.openxmlformats.org/officeDocument/2006/relationships/hyperlink" Target="consultantplus://offline/ref=7C23C2F838E949EF0AB3B3884584E8FFF57A2925F06292A7FCD0E8FF78526234430F42B16FD2A0B53A21B74D3F5EB2919CA58CB403CDC5521CC88991d4DCL" TargetMode = "External"/>
	<Relationship Id="rId367" Type="http://schemas.openxmlformats.org/officeDocument/2006/relationships/hyperlink" Target="consultantplus://offline/ref=7C23C2F838E949EF0AB3B3884584E8FFF57A2925F06D9BAEFEDCE8FF78526234430F42B16FD2A0B53A21B74F3E5EB2919CA58CB403CDC5521CC88991d4DCL" TargetMode = "External"/>
	<Relationship Id="rId368" Type="http://schemas.openxmlformats.org/officeDocument/2006/relationships/hyperlink" Target="consultantplus://offline/ref=7C23C2F838E949EF0AB3B3884584E8FFF57A2925F0619DAEFEDFE8FF78526234430F42B16FD2A0B53A21B74A3C5EB2919CA58CB403CDC5521CC88991d4DCL" TargetMode = "External"/>
	<Relationship Id="rId369" Type="http://schemas.openxmlformats.org/officeDocument/2006/relationships/hyperlink" Target="consultantplus://offline/ref=7C23C2F838E949EF0AB3B3884584E8FFF57A2925F0619DAEFEDFE8FF78526234430F42B16FD2A0B53A21B74A3D5EB2919CA58CB403CDC5521CC88991d4DCL" TargetMode = "External"/>
	<Relationship Id="rId370" Type="http://schemas.openxmlformats.org/officeDocument/2006/relationships/hyperlink" Target="consultantplus://offline/ref=7C23C2F838E949EF0AB3B3884584E8FFF57A2925F06292A7FCD0E8FF78526234430F42B16FD2A0B53A21B74D385EB2919CA58CB403CDC5521CC88991d4DCL" TargetMode = "External"/>
	<Relationship Id="rId371" Type="http://schemas.openxmlformats.org/officeDocument/2006/relationships/hyperlink" Target="consultantplus://offline/ref=7C23C2F838E949EF0AB3B3884584E8FFF57A2925F06D9BAEFEDCE8FF78526234430F42B16FD2A0B53A21B74F3F5EB2919CA58CB403CDC5521CC88991d4DCL" TargetMode = "External"/>
	<Relationship Id="rId372" Type="http://schemas.openxmlformats.org/officeDocument/2006/relationships/hyperlink" Target="consultantplus://offline/ref=7C23C2F838E949EF0AB3B3884584E8FFF57A2925F0619DAEFEDFE8FF78526234430F42B16FD2A0B53A21B749345EB2919CA58CB403CDC5521CC88991d4DCL" TargetMode = "External"/>
	<Relationship Id="rId373" Type="http://schemas.openxmlformats.org/officeDocument/2006/relationships/hyperlink" Target="consultantplus://offline/ref=7C23C2F838E949EF0AB3B3884584E8FFF57A2925F06292A7FCD0E8FF78526234430F42B16FD2A0B53A21B74D3B5EB2919CA58CB403CDC5521CC88991d4DCL" TargetMode = "External"/>
	<Relationship Id="rId374" Type="http://schemas.openxmlformats.org/officeDocument/2006/relationships/hyperlink" Target="consultantplus://offline/ref=7C23C2F838E949EF0AB3B3884584E8FFF57A2925F06D9BAEFEDCE8FF78526234430F42B16FD2A0B53A21B74F3A5EB2919CA58CB403CDC5521CC88991d4DCL" TargetMode = "External"/>
	<Relationship Id="rId375" Type="http://schemas.openxmlformats.org/officeDocument/2006/relationships/hyperlink" Target="consultantplus://offline/ref=7C23C2F838E949EF0AB3B3884584E8FFF57A2925F06292A7FCD0E8FF78526234430F42B16FD2A0B53A21B74D345EB2919CA58CB403CDC5521CC88991d4DCL" TargetMode = "External"/>
	<Relationship Id="rId376" Type="http://schemas.openxmlformats.org/officeDocument/2006/relationships/hyperlink" Target="consultantplus://offline/ref=7C23C2F838E949EF0AB3B3884584E8FFF57A2925F06D9BAEFEDCE8FF78526234430F42B16FD2A0B53A21B74F3B5EB2919CA58CB403CDC5521CC88991d4DCL" TargetMode = "External"/>
	<Relationship Id="rId377" Type="http://schemas.openxmlformats.org/officeDocument/2006/relationships/hyperlink" Target="consultantplus://offline/ref=7C23C2F838E949EF0AB3B3884584E8FFF57A2925F0619DAEFEDFE8FF78526234430F42B16FD2A0B53A21B749345EB2919CA58CB403CDC5521CC88991d4DCL" TargetMode = "External"/>
	<Relationship Id="rId378" Type="http://schemas.openxmlformats.org/officeDocument/2006/relationships/hyperlink" Target="consultantplus://offline/ref=7C23C2F838E949EF0AB3B3884584E8FFF57A2925F06C98ACF0DBE8FF78526234430F42B16FD2A0B53A21B64C3A5EB2919CA58CB403CDC5521CC88991d4DCL" TargetMode = "External"/>
	<Relationship Id="rId379" Type="http://schemas.openxmlformats.org/officeDocument/2006/relationships/hyperlink" Target="consultantplus://offline/ref=7C23C2F838E949EF0AB3B3884584E8FFF57A2925F06D9BAEFEDCE8FF78526234430F42B16FD2A0B53A21B74F345EB2919CA58CB403CDC5521CC88991d4DCL" TargetMode = "External"/>
	<Relationship Id="rId380" Type="http://schemas.openxmlformats.org/officeDocument/2006/relationships/hyperlink" Target="consultantplus://offline/ref=7C23C2F838E949EF0AB3B3884584E8FFF57A2925F0619DAEFEDFE8FF78526234430F42B16FD2A0B53A21B749345EB2919CA58CB403CDC5521CC88991d4DCL" TargetMode = "External"/>
	<Relationship Id="rId381" Type="http://schemas.openxmlformats.org/officeDocument/2006/relationships/hyperlink" Target="consultantplus://offline/ref=7C23C2F838E949EF0AB3B3884584E8FFF57A2925F06292A7FCD0E8FF78526234430F42B16FD2A0B53A21B74E3D5EB2919CA58CB403CDC5521CC88991d4DCL" TargetMode = "External"/>
	<Relationship Id="rId382" Type="http://schemas.openxmlformats.org/officeDocument/2006/relationships/hyperlink" Target="consultantplus://offline/ref=7C23C2F838E949EF0AB3B3884584E8FFF57A2925F06D9BAEFEDCE8FF78526234430F42B16FD2A0B53A21B74F355EB2919CA58CB403CDC5521CC88991d4DCL" TargetMode = "External"/>
	<Relationship Id="rId383" Type="http://schemas.openxmlformats.org/officeDocument/2006/relationships/hyperlink" Target="consultantplus://offline/ref=7C23C2F838E949EF0AB3B3884584E8FFF57A2925F0619DAEFEDFE8FF78526234430F42B16FD2A0B53A21B749345EB2919CA58CB403CDC5521CC88991d4DCL" TargetMode = "External"/>
	<Relationship Id="rId384" Type="http://schemas.openxmlformats.org/officeDocument/2006/relationships/hyperlink" Target="consultantplus://offline/ref=7C23C2F838E949EF0AB3B3884584E8FFF57A2925F06292A7FCD0E8FF78526234430F42B16FD2A0B53A21B74E3E5EB2919CA58CB403CDC5521CC88991d4DCL" TargetMode = "External"/>
	<Relationship Id="rId385" Type="http://schemas.openxmlformats.org/officeDocument/2006/relationships/hyperlink" Target="consultantplus://offline/ref=7C23C2F838E949EF0AB3B3884584E8FFF57A2925F06D9BAEFEDCE8FF78526234430F42B16FD2A0B53A21B7483C5EB2919CA58CB403CDC5521CC88991d4DCL" TargetMode = "External"/>
	<Relationship Id="rId386" Type="http://schemas.openxmlformats.org/officeDocument/2006/relationships/hyperlink" Target="consultantplus://offline/ref=7C23C2F838E949EF0AB3B3884584E8FFF57A2925F0619DAEFEDFE8FF78526234430F42B16FD2A0B53A21B749345EB2919CA58CB403CDC5521CC88991d4DCL" TargetMode = "External"/>
	<Relationship Id="rId387" Type="http://schemas.openxmlformats.org/officeDocument/2006/relationships/hyperlink" Target="consultantplus://offline/ref=7C23C2F838E949EF0AB3B3884584E8FFF57A2925F06292A7FCD0E8FF78526234430F42B16FD2A0B53A21B74E3F5EB2919CA58CB403CDC5521CC88991d4DCL" TargetMode = "External"/>
	<Relationship Id="rId388" Type="http://schemas.openxmlformats.org/officeDocument/2006/relationships/hyperlink" Target="consultantplus://offline/ref=7C23C2F838E949EF0AB3B3884584E8FFF57A2925F06D9BAEFEDCE8FF78526234430F42B16FD2A0B53A21B7483D5EB2919CA58CB403CDC5521CC88991d4DCL" TargetMode = "External"/>
	<Relationship Id="rId389" Type="http://schemas.openxmlformats.org/officeDocument/2006/relationships/hyperlink" Target="consultantplus://offline/ref=7C23C2F838E949EF0AB3B3884584E8FFF57A2925F0619DAEFEDFE8FF78526234430F42B16FD2A0B53A21B749345EB2919CA58CB403CDC5521CC88991d4DCL" TargetMode = "External"/>
	<Relationship Id="rId390" Type="http://schemas.openxmlformats.org/officeDocument/2006/relationships/hyperlink" Target="consultantplus://offline/ref=7C23C2F838E949EF0AB3B3884584E8FFF57A2925F06292A7FCD0E8FF78526234430F42B16FD2A0B53A21B74E3F5EB2919CA58CB403CDC5521CC88991d4DCL" TargetMode = "External"/>
	<Relationship Id="rId391" Type="http://schemas.openxmlformats.org/officeDocument/2006/relationships/hyperlink" Target="consultantplus://offline/ref=7C23C2F838E949EF0AB3B3884584E8FFF57A2925F06D9BAEFEDCE8FF78526234430F42B16FD2A0B53A21B7483D5EB2919CA58CB403CDC5521CC88991d4DCL" TargetMode = "External"/>
	<Relationship Id="rId392" Type="http://schemas.openxmlformats.org/officeDocument/2006/relationships/hyperlink" Target="consultantplus://offline/ref=7C23C2F838E949EF0AB3B3884584E8FFF57A2925F0619DAEFEDFE8FF78526234430F42B16FD2A0B53A21B749345EB2919CA58CB403CDC5521CC88991d4DCL" TargetMode = "External"/>
	<Relationship Id="rId393" Type="http://schemas.openxmlformats.org/officeDocument/2006/relationships/hyperlink" Target="consultantplus://offline/ref=7C23C2F838E949EF0AB3B3884584E8FFF57A2925F06292A7FCD0E8FF78526234430F42B16FD2A0B53A21B74E395EB2919CA58CB403CDC5521CC88991d4DCL" TargetMode = "External"/>
	<Relationship Id="rId394" Type="http://schemas.openxmlformats.org/officeDocument/2006/relationships/hyperlink" Target="consultantplus://offline/ref=7C23C2F838E949EF0AB3B3884584E8FFF57A2925F06D9BAEFEDCE8FF78526234430F42B16FD2A0B53A21B7483F5EB2919CA58CB403CDC5521CC88991d4DCL" TargetMode = "External"/>
	<Relationship Id="rId395" Type="http://schemas.openxmlformats.org/officeDocument/2006/relationships/hyperlink" Target="consultantplus://offline/ref=7C23C2F838E949EF0AB3B3884584E8FFF57A2925F0619DAEFEDFE8FF78526234430F42B16FD2A0B53A21B749345EB2919CA58CB403CDC5521CC88991d4DCL" TargetMode = "External"/>
	<Relationship Id="rId396" Type="http://schemas.openxmlformats.org/officeDocument/2006/relationships/hyperlink" Target="consultantplus://offline/ref=7C23C2F838E949EF0AB3B3884584E8FFF57A2925F06292A7FCD0E8FF78526234430F42B16FD2A0B53A21B74E3A5EB2919CA58CB403CDC5521CC88991d4DCL" TargetMode = "External"/>
	<Relationship Id="rId397" Type="http://schemas.openxmlformats.org/officeDocument/2006/relationships/hyperlink" Target="consultantplus://offline/ref=7C23C2F838E949EF0AB3B3884584E8FFF57A2925F06D9BAEFEDCE8FF78526234430F42B16FD2A0B53A21B748385EB2919CA58CB403CDC5521CC88991d4DCL" TargetMode = "External"/>
	<Relationship Id="rId398" Type="http://schemas.openxmlformats.org/officeDocument/2006/relationships/hyperlink" Target="consultantplus://offline/ref=7C23C2F838E949EF0AB3B3884584E8FFF57A2925F0619DAEFEDFE8FF78526234430F42B16FD2A0B53A21B749345EB2919CA58CB403CDC5521CC88991d4DCL" TargetMode = "External"/>
	<Relationship Id="rId399" Type="http://schemas.openxmlformats.org/officeDocument/2006/relationships/hyperlink" Target="consultantplus://offline/ref=7C23C2F838E949EF0AB3B3884584E8FFF57A2925F06292A7FCD0E8FF78526234430F42B16FD2A0B53A21B74E3A5EB2919CA58CB403CDC5521CC88991d4DCL" TargetMode = "External"/>
	<Relationship Id="rId400" Type="http://schemas.openxmlformats.org/officeDocument/2006/relationships/hyperlink" Target="consultantplus://offline/ref=7C23C2F838E949EF0AB3B3884584E8FFF57A2925F06D9BAEFEDCE8FF78526234430F42B16FD2A0B53A21B748385EB2919CA58CB403CDC5521CC88991d4DCL" TargetMode = "External"/>
	<Relationship Id="rId401" Type="http://schemas.openxmlformats.org/officeDocument/2006/relationships/hyperlink" Target="consultantplus://offline/ref=7C23C2F838E949EF0AB3B3884584E8FFF57A2925F0619DAEFEDFE8FF78526234430F42B16FD2A0B53A21B749345EB2919CA58CB403CDC5521CC88991d4DCL" TargetMode = "External"/>
	<Relationship Id="rId402" Type="http://schemas.openxmlformats.org/officeDocument/2006/relationships/hyperlink" Target="consultantplus://offline/ref=7C23C2F838E949EF0AB3B3884584E8FFF57A2925F06292A7FCD0E8FF78526234430F42B16FD2A0B53A21B74E3B5EB2919CA58CB403CDC5521CC88991d4DCL" TargetMode = "External"/>
	<Relationship Id="rId403" Type="http://schemas.openxmlformats.org/officeDocument/2006/relationships/hyperlink" Target="consultantplus://offline/ref=7C23C2F838E949EF0AB3B3884584E8FFF57A2925F06D9BAEFEDCE8FF78526234430F42B16FD2A0B53A21B748395EB2919CA58CB403CDC5521CC88991d4DCL" TargetMode = "External"/>
	<Relationship Id="rId404" Type="http://schemas.openxmlformats.org/officeDocument/2006/relationships/hyperlink" Target="consultantplus://offline/ref=7C23C2F838E949EF0AB3B3884584E8FFF57A2925F0619DAEFEDFE8FF78526234430F42B16FD2A0B53A21B749345EB2919CA58CB403CDC5521CC88991d4DCL" TargetMode = "External"/>
	<Relationship Id="rId405" Type="http://schemas.openxmlformats.org/officeDocument/2006/relationships/hyperlink" Target="consultantplus://offline/ref=7C23C2F838E949EF0AB3B3884584E8FFF57A2925F06292A7FCD0E8FF78526234430F42B16FD2A0B53A21B74E3B5EB2919CA58CB403CDC5521CC88991d4DCL" TargetMode = "External"/>
	<Relationship Id="rId406" Type="http://schemas.openxmlformats.org/officeDocument/2006/relationships/hyperlink" Target="consultantplus://offline/ref=7C23C2F838E949EF0AB3B3884584E8FFF57A2925F06D9BAEFEDCE8FF78526234430F42B16FD2A0B53A21B748395EB2919CA58CB403CDC5521CC88991d4DCL" TargetMode = "External"/>
	<Relationship Id="rId407" Type="http://schemas.openxmlformats.org/officeDocument/2006/relationships/hyperlink" Target="consultantplus://offline/ref=7C23C2F838E949EF0AB3B3884584E8FFF57A2925F0619DAEFEDFE8FF78526234430F42B16FD2A0B53A21B749345EB2919CA58CB403CDC5521CC88991d4DCL" TargetMode = "External"/>
	<Relationship Id="rId408" Type="http://schemas.openxmlformats.org/officeDocument/2006/relationships/hyperlink" Target="consultantplus://offline/ref=7C23C2F838E949EF0AB3B3884584E8FFF57A2925F06292A7FCD0E8FF78526234430F42B16FD2A0B53A21B74E355EB2919CA58CB403CDC5521CC88991d4DCL" TargetMode = "External"/>
	<Relationship Id="rId409" Type="http://schemas.openxmlformats.org/officeDocument/2006/relationships/hyperlink" Target="consultantplus://offline/ref=7C23C2F838E949EF0AB3B3884584E8FFF57A2925F06D9BAEFEDCE8FF78526234430F42B16FD2A0B53A21B7483B5EB2919CA58CB403CDC5521CC88991d4DCL" TargetMode = "External"/>
	<Relationship Id="rId410" Type="http://schemas.openxmlformats.org/officeDocument/2006/relationships/hyperlink" Target="consultantplus://offline/ref=7C23C2F838E949EF0AB3B3884584E8FFF57A2925F0619DAEFEDFE8FF78526234430F42B16FD2A0B53A21B749345EB2919CA58CB403CDC5521CC88991d4DCL" TargetMode = "External"/>
	<Relationship Id="rId411" Type="http://schemas.openxmlformats.org/officeDocument/2006/relationships/hyperlink" Target="consultantplus://offline/ref=7C23C2F838E949EF0AB3B3884584E8FFF57A2925F06292A7FCD0E8FF78526234430F42B16FD2A0B53A21B74F3C5EB2919CA58CB403CDC5521CC88991d4DCL" TargetMode = "External"/>
	<Relationship Id="rId412" Type="http://schemas.openxmlformats.org/officeDocument/2006/relationships/hyperlink" Target="consultantplus://offline/ref=7C23C2F838E949EF0AB3B3884584E8FFF57A2925F06D9BAEFEDCE8FF78526234430F42B16FD2A0B53A21B748345EB2919CA58CB403CDC5521CC88991d4DCL" TargetMode = "External"/>
	<Relationship Id="rId413" Type="http://schemas.openxmlformats.org/officeDocument/2006/relationships/hyperlink" Target="consultantplus://offline/ref=7C23C2F838E949EF0AB3B3884584E8FFF57A2925F06292A7FCD0E8FF78526234430F42B16FD2A0B53A21B74F3E5EB2919CA58CB403CDC5521CC88991d4DCL" TargetMode = "External"/>
	<Relationship Id="rId414" Type="http://schemas.openxmlformats.org/officeDocument/2006/relationships/hyperlink" Target="consultantplus://offline/ref=7C23C2F838E949EF0AB3B3884584E8FFF57A2925F06292A7FCD0E8FF78526234430F42B16FD2A0B53A21B74F3E5EB2919CA58CB403CDC5521CC88991d4DCL" TargetMode = "External"/>
	<Relationship Id="rId415" Type="http://schemas.openxmlformats.org/officeDocument/2006/relationships/hyperlink" Target="consultantplus://offline/ref=7C23C2F838E949EF0AB3B3884584E8FFF57A2925F06D9BAEFEDCE8FF78526234430F42B16FD2A0B53A21B748355EB2919CA58CB403CDC5521CC88991d4DCL" TargetMode = "External"/>
	<Relationship Id="rId416" Type="http://schemas.openxmlformats.org/officeDocument/2006/relationships/hyperlink" Target="consultantplus://offline/ref=7C23C2F838E949EF0AB3B3884584E8FFF57A2925F0619DAEFEDFE8FF78526234430F42B16FD2A0B53A21B749345EB2919CA58CB403CDC5521CC88991d4DCL" TargetMode = "External"/>
	<Relationship Id="rId417" Type="http://schemas.openxmlformats.org/officeDocument/2006/relationships/hyperlink" Target="consultantplus://offline/ref=7C23C2F838E949EF0AB3B3884584E8FFF57A2925F06292A7FCD0E8FF78526234430F42B16FD2A0B53A21B74F3A5EB2919CA58CB403CDC5521CC88991d4DCL" TargetMode = "External"/>
	<Relationship Id="rId418" Type="http://schemas.openxmlformats.org/officeDocument/2006/relationships/hyperlink" Target="consultantplus://offline/ref=7C23C2F838E949EF0AB3B3884584E8FFF57A2925F06D9BAEFEDCE8FF78526234430F42B16FD2A0B53A21B7493D5EB2919CA58CB403CDC5521CC88991d4DCL" TargetMode = "External"/>
	<Relationship Id="rId419" Type="http://schemas.openxmlformats.org/officeDocument/2006/relationships/hyperlink" Target="consultantplus://offline/ref=7C23C2F838E949EF0AB3B3884584E8FFF57A2925F0619DAEFEDFE8FF78526234430F42B16FD2A0B53A21B749345EB2919CA58CB403CDC5521CC88991d4DCL" TargetMode = "External"/>
	<Relationship Id="rId420" Type="http://schemas.openxmlformats.org/officeDocument/2006/relationships/hyperlink" Target="consultantplus://offline/ref=7C23C2F838E949EF0AB3B3884584E8FFF57A2925F06292A7FCD0E8FF78526234430F42B16FD2A0B53A21B74F3B5EB2919CA58CB403CDC5521CC88991d4DCL" TargetMode = "External"/>
	<Relationship Id="rId421" Type="http://schemas.openxmlformats.org/officeDocument/2006/relationships/hyperlink" Target="consultantplus://offline/ref=7C23C2F838E949EF0AB3B3884584E8FFF57A2925F06D9BAEFEDCE8FF78526234430F42B16FD2A0B53A21B7493E5EB2919CA58CB403CDC5521CC88991d4DCL" TargetMode = "External"/>
	<Relationship Id="rId422" Type="http://schemas.openxmlformats.org/officeDocument/2006/relationships/hyperlink" Target="consultantplus://offline/ref=7C23C2F838E949EF0AB3B3884584E8FFF57A2925F0619DAEFEDFE8FF78526234430F42B16FD2A0B53A21B749345EB2919CA58CB403CDC5521CC88991d4DCL" TargetMode = "External"/>
	<Relationship Id="rId423" Type="http://schemas.openxmlformats.org/officeDocument/2006/relationships/hyperlink" Target="consultantplus://offline/ref=7C23C2F838E949EF0AB3B3884584E8FFF57A2925F06292A7FCD0E8FF78526234430F42B16FD2A0B53A21B74F345EB2919CA58CB403CDC5521CC88991d4DCL" TargetMode = "External"/>
	<Relationship Id="rId424" Type="http://schemas.openxmlformats.org/officeDocument/2006/relationships/hyperlink" Target="consultantplus://offline/ref=7C23C2F838E949EF0AB3B3884584E8FFF57A2925F06D9BAEFEDCE8FF78526234430F42B16FD2A0B53A21B7493F5EB2919CA58CB403CDC5521CC88991d4DCL" TargetMode = "External"/>
	<Relationship Id="rId425" Type="http://schemas.openxmlformats.org/officeDocument/2006/relationships/hyperlink" Target="consultantplus://offline/ref=7C23C2F838E949EF0AB3B3884584E8FFF57A2925F0619DAEFEDFE8FF78526234430F42B16FD2A0B53A21B749345EB2919CA58CB403CDC5521CC88991d4DCL" TargetMode = "External"/>
	<Relationship Id="rId426" Type="http://schemas.openxmlformats.org/officeDocument/2006/relationships/hyperlink" Target="consultantplus://offline/ref=7C23C2F838E949EF0AB3B3884584E8FFF57A2925F06292A7FCD0E8FF78526234430F42B16FD2A0B53A21B74F355EB2919CA58CB403CDC5521CC88991d4DCL" TargetMode = "External"/>
	<Relationship Id="rId427" Type="http://schemas.openxmlformats.org/officeDocument/2006/relationships/hyperlink" Target="consultantplus://offline/ref=7C23C2F838E949EF0AB3B3884584E8FFF57A2925F06D9BAEFEDCE8FF78526234430F42B16FD2A0B53A21B749385EB2919CA58CB403CDC5521CC88991d4DCL" TargetMode = "External"/>
	<Relationship Id="rId428" Type="http://schemas.openxmlformats.org/officeDocument/2006/relationships/hyperlink" Target="consultantplus://offline/ref=7C23C2F838E949EF0AB3B3884584E8FFF57A2925F0619DAEFEDFE8FF78526234430F42B16FD2A0B53A21B74A3E5EB2919CA58CB403CDC5521CC88991d4DCL" TargetMode = "External"/>
	<Relationship Id="rId429" Type="http://schemas.openxmlformats.org/officeDocument/2006/relationships/hyperlink" Target="consultantplus://offline/ref=7C23C2F838E949EF0AB3B3884584E8FFF57A2925F0619DAEFEDFE8FF78526234430F42B16FD2A0B53A21B74A385EB2919CA58CB403CDC5521CC88991d4DCL" TargetMode = "External"/>
	<Relationship Id="rId430" Type="http://schemas.openxmlformats.org/officeDocument/2006/relationships/hyperlink" Target="consultantplus://offline/ref=7C23C2F838E949EF0AB3B3884584E8FFF57A2925F0619DAEFEDFE8FF78526234430F42B16FD2A0B53A21B74A395EB2919CA58CB403CDC5521CC88991d4DCL" TargetMode = "External"/>
	<Relationship Id="rId431" Type="http://schemas.openxmlformats.org/officeDocument/2006/relationships/hyperlink" Target="consultantplus://offline/ref=7C23C2F838E949EF0AB3B3884584E8FFF57A2925F0629EAEFDDCE8FF78526234430F42B16FD2A0B53A21B7443A5EB2919CA58CB403CDC5521CC88991d4DCL" TargetMode = "External"/>
	<Relationship Id="rId432" Type="http://schemas.openxmlformats.org/officeDocument/2006/relationships/hyperlink" Target="consultantplus://offline/ref=7C23C2F838E949EF0AB3B3884584E8FFF57A2925F0629EAEFDDCE8FF78526234430F42B16FD2A0B53A21B7443B5EB2919CA58CB403CDC5521CC88991d4DCL" TargetMode = "External"/>
	<Relationship Id="rId433" Type="http://schemas.openxmlformats.org/officeDocument/2006/relationships/hyperlink" Target="consultantplus://offline/ref=7C23C2F838E949EF0AB3B3884584E8FFF57A2925F0629EAEFDDCE8FF78526234430F42B16FD2A0B53A21B744355EB2919CA58CB403CDC5521CC88991d4DCL" TargetMode = "External"/>
	<Relationship Id="rId434" Type="http://schemas.openxmlformats.org/officeDocument/2006/relationships/hyperlink" Target="consultantplus://offline/ref=7C23C2F838E949EF0AB3B3884584E8FFF57A2925F0619DAEFEDFE8FF78526234430F42B16FD2A0B53A21B74A345EB2919CA58CB403CDC5521CC88991d4DCL" TargetMode = "External"/>
	<Relationship Id="rId435" Type="http://schemas.openxmlformats.org/officeDocument/2006/relationships/hyperlink" Target="consultantplus://offline/ref=7C23C2F838E949EF0AB3B3884584E8FFF57A2925F0619DAEFEDFE8FF78526234430F42B16FD2A0B53A21B74B3E5EB2919CA58CB403CDC5521CC88991d4DCL" TargetMode = "External"/>
	<Relationship Id="rId436" Type="http://schemas.openxmlformats.org/officeDocument/2006/relationships/hyperlink" Target="consultantplus://offline/ref=7C23C2F838E949EF0AB3B3884584E8FFF57A2925F0629EAEFDDCE8FF78526234430F42B16FD2A0B53A21B7453D5EB2919CA58CB403CDC5521CC88991d4DCL" TargetMode = "External"/>
	<Relationship Id="rId437" Type="http://schemas.openxmlformats.org/officeDocument/2006/relationships/hyperlink" Target="consultantplus://offline/ref=7C23C2F838E949EF0AB3B3884584E8FFF57A2925F0629EAEFDDCE8FF78526234430F42B16FD2A0B53A21B7453E5EB2919CA58CB403CDC5521CC88991d4DCL" TargetMode = "External"/>
	<Relationship Id="rId438" Type="http://schemas.openxmlformats.org/officeDocument/2006/relationships/hyperlink" Target="consultantplus://offline/ref=7C23C2F838E949EF0AB3B3884584E8FFF57A2925F0639FAAFFDDE8FF78526234430F42B16FD2A0B53A21B74D355EB2919CA58CB403CDC5521CC88991d4DCL" TargetMode = "External"/>
	<Relationship Id="rId439" Type="http://schemas.openxmlformats.org/officeDocument/2006/relationships/hyperlink" Target="consultantplus://offline/ref=7C23C2F838E949EF0AB3B3884584E8FFF57A2925F0619DAEFEDFE8FF78526234430F42B16FD2A0B53A21B74B3F5EB2919CA58CB403CDC5521CC88991d4DCL" TargetMode = "External"/>
	<Relationship Id="rId440" Type="http://schemas.openxmlformats.org/officeDocument/2006/relationships/hyperlink" Target="consultantplus://offline/ref=7C23C2F838E949EF0AB3B3884584E8FFF57A2925F0619DAEFEDFE8FF78526234430F42B16FD2A0B53A21B74B385EB2919CA58CB403CDC5521CC88991d4DCL" TargetMode = "External"/>
	<Relationship Id="rId441" Type="http://schemas.openxmlformats.org/officeDocument/2006/relationships/hyperlink" Target="consultantplus://offline/ref=7C23C2F838E949EF0AB3B3884584E8FFF57A2925F0619DAEFEDFE8FF78526234430F42B16FD2A0B53A21B74B385EB2919CA58CB403CDC5521CC88991d4DCL" TargetMode = "External"/>
	<Relationship Id="rId442" Type="http://schemas.openxmlformats.org/officeDocument/2006/relationships/hyperlink" Target="consultantplus://offline/ref=7C23C2F838E949EF0AB3B3884584E8FFF57A2925F0619DAEFEDFE8FF78526234430F42B16FD2A0B53A21B74B385EB2919CA58CB403CDC5521CC88991d4DCL" TargetMode = "External"/>
	<Relationship Id="rId443" Type="http://schemas.openxmlformats.org/officeDocument/2006/relationships/hyperlink" Target="consultantplus://offline/ref=7C23C2F838E949EF0AB3B3884584E8FFF57A2925F0619DAEFEDFE8FF78526234430F42B16FD2A0B53A21B74B395EB2919CA58CB403CDC5521CC88991d4DCL" TargetMode = "External"/>
	<Relationship Id="rId444" Type="http://schemas.openxmlformats.org/officeDocument/2006/relationships/hyperlink" Target="consultantplus://offline/ref=7C23C2F838E949EF0AB3B3884584E8FFF57A2925F0619DAEFEDFE8FF78526234430F42B16FD2A0B53A21B7443C5EB2919CA58CB403CDC5521CC88991d4DCL" TargetMode = "External"/>
	<Relationship Id="rId445" Type="http://schemas.openxmlformats.org/officeDocument/2006/relationships/hyperlink" Target="consultantplus://offline/ref=7C23C2F838E949EF0AB3B3884584E8FFF57A2925F0619DAEFEDFE8FF78526234430F42B16FD2A0B53A21B7443D5EB2919CA58CB403CDC5521CC88991d4DCL" TargetMode = "External"/>
	<Relationship Id="rId446" Type="http://schemas.openxmlformats.org/officeDocument/2006/relationships/hyperlink" Target="consultantplus://offline/ref=7C23C2F838E949EF0AB3B3884584E8FFF57A2925F0619DAEFEDFE8FF78526234430F42B16FD2A0B53A21B7443D5EB2919CA58CB403CDC5521CC88991d4DCL" TargetMode = "External"/>
	<Relationship Id="rId447" Type="http://schemas.openxmlformats.org/officeDocument/2006/relationships/hyperlink" Target="consultantplus://offline/ref=7C23C2F838E949EF0AB3B3884584E8FFF57A2925F0619DAEFEDFE8FF78526234430F42B16FD2A0B53A21B7443F5EB2919CA58CB403CDC5521CC88991d4DCL" TargetMode = "External"/>
	<Relationship Id="rId448" Type="http://schemas.openxmlformats.org/officeDocument/2006/relationships/hyperlink" Target="consultantplus://offline/ref=7C23C2F838E949EF0AB3B3884584E8FFF57A2925F0629EAEFDDCE8FF78526234430F42B16FD2A0B53A21B7453F5EB2919CA58CB403CDC5521CC88991d4DCL" TargetMode = "External"/>
	<Relationship Id="rId449" Type="http://schemas.openxmlformats.org/officeDocument/2006/relationships/hyperlink" Target="consultantplus://offline/ref=7C23C2F838E949EF0AB3B3884584E8FFF57A2925F0629EAEFDDCE8FF78526234430F42B16FD2A0B53A21B7453F5EB2919CA58CB403CDC5521CC88991d4DCL" TargetMode = "External"/>
	<Relationship Id="rId450" Type="http://schemas.openxmlformats.org/officeDocument/2006/relationships/hyperlink" Target="consultantplus://offline/ref=7C23C2F838E949EF0AB3B3884584E8FFF57A2925F0619DAEFEDFE8FF78526234430F42B16FD2A0B53A21B744385EB2919CA58CB403CDC5521CC88991d4DCL" TargetMode = "External"/>
	<Relationship Id="rId451" Type="http://schemas.openxmlformats.org/officeDocument/2006/relationships/hyperlink" Target="consultantplus://offline/ref=7C23C2F838E949EF0AB3B3884584E8FFF57A2925F0619DAEFEDFE8FF78526234430F42B16FD2A0B53A21B7443A5EB2919CA58CB403CDC5521CC88991d4DCL" TargetMode = "External"/>
	<Relationship Id="rId452" Type="http://schemas.openxmlformats.org/officeDocument/2006/relationships/hyperlink" Target="consultantplus://offline/ref=7C23C2F838E949EF0AB3B3884584E8FFF57A2925F0619DAEFEDFE8FF78526234430F42B16FD2A0B53A21B744345EB2919CA58CB403CDC5521CC88991d4DCL" TargetMode = "External"/>
	<Relationship Id="rId453" Type="http://schemas.openxmlformats.org/officeDocument/2006/relationships/hyperlink" Target="consultantplus://offline/ref=7C23C2F838E949EF0AB3B3884584E8FFF57A2925F0619DAEFEDFE8FF78526234430F42B16FD2A0B53A21B744355EB2919CA58CB403CDC5521CC88991d4DCL" TargetMode = "External"/>
	<Relationship Id="rId454" Type="http://schemas.openxmlformats.org/officeDocument/2006/relationships/hyperlink" Target="consultantplus://offline/ref=7C23C2F838E949EF0AB3B3884584E8FFF57A2925F0619DAEFEDFE8FF78526234430F42B16FD2A0B53A21B7453D5EB2919CA58CB403CDC5521CC88991d4DCL" TargetMode = "External"/>
	<Relationship Id="rId455" Type="http://schemas.openxmlformats.org/officeDocument/2006/relationships/hyperlink" Target="consultantplus://offline/ref=7C23C2F838E949EF0AB3B3884584E8FFF57A2925F0619DAEFEDFE8FF78526234430F42B16FD2A0B53A21B7453F5EB2919CA58CB403CDC5521CC88991d4DCL" TargetMode = "External"/>
	<Relationship Id="rId456" Type="http://schemas.openxmlformats.org/officeDocument/2006/relationships/hyperlink" Target="consultantplus://offline/ref=7C23C2F838E949EF0AB3B3884584E8FFF57A2925F0619DAEFEDFE8FF78526234430F42B16FD2A0B53A21B745385EB2919CA58CB403CDC5521CC88991d4DCL" TargetMode = "External"/>
	<Relationship Id="rId457" Type="http://schemas.openxmlformats.org/officeDocument/2006/relationships/hyperlink" Target="consultantplus://offline/ref=7C23C2F838E949EF0AB3B3884584E8FFF57A2925F0619DAEFEDFE8FF78526234430F42B16FD2A0B53A21B745395EB2919CA58CB403CDC5521CC88991d4DCL" TargetMode = "External"/>
	<Relationship Id="rId458" Type="http://schemas.openxmlformats.org/officeDocument/2006/relationships/hyperlink" Target="consultantplus://offline/ref=7C23C2F838E949EF0AB3B3884584E8FFF57A2925F0629EAEFDDCE8FF78526234430F42B16FD2A0B53A21B745385EB2919CA58CB403CDC5521CC88991d4DCL" TargetMode = "External"/>
	<Relationship Id="rId459" Type="http://schemas.openxmlformats.org/officeDocument/2006/relationships/hyperlink" Target="consultantplus://offline/ref=7C23C2F838E949EF0AB3B3884584E8FFF57A2925F0629EAEFDDCE8FF78526234430F42B16FD2A0B53A21B745395EB2919CA58CB403CDC5521CC88991d4DCL" TargetMode = "External"/>
	<Relationship Id="rId460" Type="http://schemas.openxmlformats.org/officeDocument/2006/relationships/hyperlink" Target="consultantplus://offline/ref=7C23C2F838E949EF0AB3B3884584E8FFF57A2925F0629EAEFDDCE8FF78526234430F42B16FD2A0B53A21B7453A5EB2919CA58CB403CDC5521CC88991d4DCL" TargetMode = "External"/>
	<Relationship Id="rId461" Type="http://schemas.openxmlformats.org/officeDocument/2006/relationships/hyperlink" Target="consultantplus://offline/ref=7C23C2F838E949EF0AB3B3884584E8FFF57A2925F0619DAEFEDFE8FF78526234430F42B16FD2A0B53A21B745345EB2919CA58CB403CDC5521CC88991d4DCL" TargetMode = "External"/>
	<Relationship Id="rId462" Type="http://schemas.openxmlformats.org/officeDocument/2006/relationships/hyperlink" Target="consultantplus://offline/ref=7C23C2F838E949EF0AB3B3884584E8FFF57A2925F0629EAEFDDCE8FF78526234430F42B16FD2A0B53A21B7453B5EB2919CA58CB403CDC5521CC88991d4DCL" TargetMode = "External"/>
	<Relationship Id="rId463" Type="http://schemas.openxmlformats.org/officeDocument/2006/relationships/hyperlink" Target="consultantplus://offline/ref=7C23C2F838E949EF0AB3B3884584E8FFF57A2925F0629EAEFDDCE8FF78526234430F42B16FD2A0B53A21B745345EB2919CA58CB403CDC5521CC88991d4DCL" TargetMode = "External"/>
	<Relationship Id="rId464" Type="http://schemas.openxmlformats.org/officeDocument/2006/relationships/hyperlink" Target="consultantplus://offline/ref=7C23C2F838E949EF0AB3B3884584E8FFF57A2925F0629EAEFDDCE8FF78526234430F42B16FD2A0B53A21B745355EB2919CA58CB403CDC5521CC88991d4DCL" TargetMode = "External"/>
	<Relationship Id="rId465" Type="http://schemas.openxmlformats.org/officeDocument/2006/relationships/hyperlink" Target="consultantplus://offline/ref=7C23C2F838E949EF0AB3B3884584E8FFF57A2925F0639FAAFFDDE8FF78526234430F42B16FD2A0B53A21B74E3C5EB2919CA58CB403CDC5521CC88991d4DCL" TargetMode = "External"/>
	<Relationship Id="rId466" Type="http://schemas.openxmlformats.org/officeDocument/2006/relationships/hyperlink" Target="consultantplus://offline/ref=7C23C2F838E949EF0AB3B3884584E8FFF57A2925F0629EAEFDDCE8FF78526234430F42B16FD2A0B53A21B64C3C5EB2919CA58CB403CDC5521CC88991d4DCL" TargetMode = "External"/>
	<Relationship Id="rId467" Type="http://schemas.openxmlformats.org/officeDocument/2006/relationships/hyperlink" Target="consultantplus://offline/ref=7C23C2F838E949EF0AB3B3884584E8FFF57A2925F0619DAEFEDFE8FF78526234430F42B16FD2A0B53A21B64C3E5EB2919CA58CB403CDC5521CC88991d4DCL" TargetMode = "External"/>
	<Relationship Id="rId468" Type="http://schemas.openxmlformats.org/officeDocument/2006/relationships/hyperlink" Target="consultantplus://offline/ref=7C23C2F838E949EF0AB3B3884584E8FFF57A2925F0639EAAFADCE8FF78526234430F42B16FD2A0B53A21B74C395EB2919CA58CB403CDC5521CC88991d4DCL" TargetMode = "External"/>
	<Relationship Id="rId469" Type="http://schemas.openxmlformats.org/officeDocument/2006/relationships/hyperlink" Target="consultantplus://offline/ref=7C23C2F838E949EF0AB3B3884584E8FFF57A2925F0619FA6FFDFE8FF78526234430F42B16FD2A0B53A21B64C385EB2919CA58CB403CDC5521CC88991d4DCL" TargetMode = "External"/>
	<Relationship Id="rId470" Type="http://schemas.openxmlformats.org/officeDocument/2006/relationships/hyperlink" Target="consultantplus://offline/ref=7C23C2F838E949EF0AB3B3884584E8FFF57A2925F06193AAF0DBE8FF78526234430F42B16FD2A0B53A21B74E345EB2919CA58CB403CDC5521CC88991d4DCL" TargetMode = "External"/>
	<Relationship Id="rId471" Type="http://schemas.openxmlformats.org/officeDocument/2006/relationships/hyperlink" Target="consultantplus://offline/ref=7C23C2F838E949EF0AB3B3884584E8FFF57A2925F0629CADFEDBE8FF78526234430F42B16FD2A0B53A21B74E3B5EB2919CA58CB403CDC5521CC88991d4DCL" TargetMode = "External"/>
	<Relationship Id="rId472" Type="http://schemas.openxmlformats.org/officeDocument/2006/relationships/hyperlink" Target="consultantplus://offline/ref=7C23C2F838E949EF0AB3B3884584E8FFF57A2925F06C92AEF0D1E8FF78526234430F42B16FD2A0B53A21BF453A5EB2919CA58CB403CDC5521CC88991d4DCL" TargetMode = "External"/>
	<Relationship Id="rId473" Type="http://schemas.openxmlformats.org/officeDocument/2006/relationships/hyperlink" Target="consultantplus://offline/ref=7C23C2F838E949EF0AB3B3884584E8FFF57A2925F06C92AEF0D1E8FF78526234430F42B16FD2A0B53A21BF453A5EB2919CA58CB403CDC5521CC88991d4DCL" TargetMode = "External"/>
	<Relationship Id="rId474" Type="http://schemas.openxmlformats.org/officeDocument/2006/relationships/hyperlink" Target="consultantplus://offline/ref=7C23C2F838E949EF0AB3B3884584E8FFF57A2925F06C92AEF0D1E8FF78526234430F42B16FD2A0B53A21BE4F395EB2919CA58CB403CDC5521CC88991d4DCL" TargetMode = "External"/>
	<Relationship Id="rId475" Type="http://schemas.openxmlformats.org/officeDocument/2006/relationships/hyperlink" Target="consultantplus://offline/ref=7C23C2F838E949EF0AB3B3884584E8FFF57A2925F06C92AEF0D1E8FF78526234430F42B16FD2A0B53A21BF453A5EB2919CA58CB403CDC5521CC88991d4DCL" TargetMode = "External"/>
	<Relationship Id="rId476" Type="http://schemas.openxmlformats.org/officeDocument/2006/relationships/hyperlink" Target="consultantplus://offline/ref=7C23C2F838E949EF0AB3AD8553E8BFF0F7707E28F66290F9A48DEEA827026461034F44E42C96ADB43C2AE31D7800EBC2DEEE80B71BD1C451d0D1L" TargetMode = "External"/>
	<Relationship Id="rId477" Type="http://schemas.openxmlformats.org/officeDocument/2006/relationships/hyperlink" Target="consultantplus://offline/ref=03AED6AA07DB4155249B01FBD808E7DE3B140982D64B0D0A73F4B0F51E781959CDE97E1B710B97FB641D0BDB4A36E1064AD03DEBD5EF346344678F96e7D9L" TargetMode = "External"/>
	<Relationship Id="rId478" Type="http://schemas.openxmlformats.org/officeDocument/2006/relationships/hyperlink" Target="consultantplus://offline/ref=03AED6AA07DB4155249B01FBD808E7DE3B140982D64503097DFEB0F51E781959CDE97E1B710B97FB641D03D04536E1064AD03DEBD5EF346344678F96e7D9L" TargetMode = "External"/>
	<Relationship Id="rId479" Type="http://schemas.openxmlformats.org/officeDocument/2006/relationships/hyperlink" Target="consultantplus://offline/ref=03AED6AA07DB4155249B01FBD808E7DE3B140982D6460C0E73FEB0F51E781959CDE97E1B710B97FB641D03D04436E1064AD03DEBD5EF346344678F96e7D9L" TargetMode = "External"/>
	<Relationship Id="rId480" Type="http://schemas.openxmlformats.org/officeDocument/2006/relationships/hyperlink" Target="consultantplus://offline/ref=03AED6AA07DB4155249B01FBD808E7DE3B140982D64B0D0A73F4B0F51E781959CDE97E1B710B97FB641D0BDB4A36E1064AD03DEBD5EF346344678F96e7D9L" TargetMode = "External"/>
	<Relationship Id="rId481" Type="http://schemas.openxmlformats.org/officeDocument/2006/relationships/hyperlink" Target="consultantplus://offline/ref=03AED6AA07DB4155249B01FBD808E7DE3B140982D64B0D0A73F4B0F51E781959CDE97E1B710B97FB641D0BDB4A36E1064AD03DEBD5EF346344678F96e7D9L" TargetMode = "External"/>
	<Relationship Id="rId482" Type="http://schemas.openxmlformats.org/officeDocument/2006/relationships/hyperlink" Target="consultantplus://offline/ref=03AED6AA07DB4155249B01FBD808E7DE3B140982D64503097DFEB0F51E781959CDE97E1B710B97FB641D03D14D36E1064AD03DEBD5EF346344678F96e7D9L" TargetMode = "External"/>
	<Relationship Id="rId483" Type="http://schemas.openxmlformats.org/officeDocument/2006/relationships/hyperlink" Target="consultantplus://offline/ref=03AED6AA07DB4155249B1FF6CE64B0D1391C508BD44A0F5D27A8B6A241281F0C8DA9784E324F9AF9671657830868B855089B31E8CDF33560e5D9L" TargetMode = "External"/>
	<Relationship Id="rId484" Type="http://schemas.openxmlformats.org/officeDocument/2006/relationships/hyperlink" Target="consultantplus://offline/ref=03AED6AA07DB4155249B01FBD808E7DE3B140982D64600027CFAB0F51E781959CDE97E1B710B97FB641D02D24936E1064AD03DEBD5EF346344678F96e7D9L" TargetMode = "External"/>
	<Relationship Id="rId485" Type="http://schemas.openxmlformats.org/officeDocument/2006/relationships/hyperlink" Target="consultantplus://offline/ref=03AED6AA07DB4155249B01FBD808E7DE3B140982D64B0D0A73F4B0F51E781959CDE97E1B710B97FB641D0BDB4A36E1064AD03DEBD5EF346344678F96e7D9L" TargetMode = "External"/>
	<Relationship Id="rId486" Type="http://schemas.openxmlformats.org/officeDocument/2006/relationships/hyperlink" Target="consultantplus://offline/ref=03AED6AA07DB4155249B1FF6CE64B0D1391D558FD74B0F5D27A8B6A241281F0C8DA9784E324F9BF3601657830868B855089B31E8CDF33560e5D9L" TargetMode = "External"/>
	<Relationship Id="rId487" Type="http://schemas.openxmlformats.org/officeDocument/2006/relationships/hyperlink" Target="consultantplus://offline/ref=03AED6AA07DB4155249B01FBD808E7DE3B140982D64600027CFAB0F51E781959CDE97E1B710B97FB641D02D24B36E1064AD03DEBD5EF346344678F96e7D9L" TargetMode = "External"/>
	<Relationship Id="rId488" Type="http://schemas.openxmlformats.org/officeDocument/2006/relationships/hyperlink" Target="consultantplus://offline/ref=03AED6AA07DB4155249B01FBD808E7DE3B140982D64600027CFAB0F51E781959CDE97E1B710B97FB641D02D24536E1064AD03DEBD5EF346344678F96e7D9L" TargetMode = "External"/>
	<Relationship Id="rId489" Type="http://schemas.openxmlformats.org/officeDocument/2006/relationships/hyperlink" Target="consultantplus://offline/ref=03AED6AA07DB4155249B1FF6CE64B0D1391A538CD4460F5D27A8B6A241281F0C9FA92042304984FB650301D24Ee3DEL" TargetMode = "External"/>
	<Relationship Id="rId490" Type="http://schemas.openxmlformats.org/officeDocument/2006/relationships/hyperlink" Target="consultantplus://offline/ref=03AED6AA07DB4155249B01FBD808E7DE3B140982D64600027CFAB0F51E781959CDE97E1B710B97FB641D02D34C36E1064AD03DEBD5EF346344678F96e7D9L" TargetMode = "External"/>
	<Relationship Id="rId491" Type="http://schemas.openxmlformats.org/officeDocument/2006/relationships/hyperlink" Target="consultantplus://offline/ref=03AED6AA07DB4155249B01FBD808E7DE3B140982D64B0D0A73F4B0F51E781959CDE97E1B710B97FB641D0BDB4A36E1064AD03DEBD5EF346344678F96e7D9L" TargetMode = "External"/>
	<Relationship Id="rId492" Type="http://schemas.openxmlformats.org/officeDocument/2006/relationships/hyperlink" Target="consultantplus://offline/ref=03AED6AA07DB4155249B01FBD808E7DE3B140982D64600027CFAB0F51E781959CDE97E1B710B97FB641D02D34F36E1064AD03DEBD5EF346344678F96e7D9L" TargetMode = "External"/>
	<Relationship Id="rId493" Type="http://schemas.openxmlformats.org/officeDocument/2006/relationships/hyperlink" Target="consultantplus://offline/ref=03AED6AA07DB4155249B01FBD808E7DE3B140982D64503097DFEB0F51E781959CDE97E1B710B97FB641D03D14F36E1064AD03DEBD5EF346344678F96e7D9L" TargetMode = "External"/>
	<Relationship Id="rId494" Type="http://schemas.openxmlformats.org/officeDocument/2006/relationships/hyperlink" Target="consultantplus://offline/ref=03AED6AA07DB4155249B01FBD808E7DE3B140982D64600027CFAB0F51E781959CDE97E1B710B97FB641D02D34836E1064AD03DEBD5EF346344678F96e7D9L" TargetMode = "External"/>
	<Relationship Id="rId495" Type="http://schemas.openxmlformats.org/officeDocument/2006/relationships/hyperlink" Target="consultantplus://offline/ref=03AED6AA07DB4155249B01FBD808E7DE3B140982D64600027CFAB0F51E781959CDE97E1B710B97FB641D02D34B36E1064AD03DEBD5EF346344678F96e7D9L" TargetMode = "External"/>
	<Relationship Id="rId496" Type="http://schemas.openxmlformats.org/officeDocument/2006/relationships/hyperlink" Target="consultantplus://offline/ref=03AED6AA07DB4155249B01FBD808E7DE3B140982D64B0D0A73F4B0F51E781959CDE97E1B710B97FB641D0BDB4A36E1064AD03DEBD5EF346344678F96e7D9L" TargetMode = "External"/>
	<Relationship Id="rId497" Type="http://schemas.openxmlformats.org/officeDocument/2006/relationships/hyperlink" Target="consultantplus://offline/ref=03AED6AA07DB4155249B01FBD808E7DE3B140982D64B0D0A73F4B0F51E781959CDE97E1B710B97FB641D0BDB4A36E1064AD03DEBD5EF346344678F96e7D9L" TargetMode = "External"/>
	<Relationship Id="rId498" Type="http://schemas.openxmlformats.org/officeDocument/2006/relationships/hyperlink" Target="consultantplus://offline/ref=03AED6AA07DB4155249B01FBD808E7DE3B140982D64B0D0A73F4B0F51E781959CDE97E1B710B97FB641D0BDB4A36E1064AD03DEBD5EF346344678F96e7D9L" TargetMode = "External"/>
	<Relationship Id="rId499" Type="http://schemas.openxmlformats.org/officeDocument/2006/relationships/hyperlink" Target="consultantplus://offline/ref=03AED6AA07DB4155249B01FBD808E7DE3B140982D64B0D0A73F4B0F51E781959CDE97E1B710B97FB641D0BDB4A36E1064AD03DEBD5EF346344678F96e7D9L" TargetMode = "External"/>
	<Relationship Id="rId500" Type="http://schemas.openxmlformats.org/officeDocument/2006/relationships/hyperlink" Target="consultantplus://offline/ref=03AED6AA07DB4155249B01FBD808E7DE3B140982D64B0D0A73F4B0F51E781959CDE97E1B710B97FB641D0BDB4A36E1064AD03DEBD5EF346344678F96e7D9L" TargetMode = "External"/>
	<Relationship Id="rId501" Type="http://schemas.openxmlformats.org/officeDocument/2006/relationships/hyperlink" Target="consultantplus://offline/ref=03AED6AA07DB4155249B01FBD808E7DE3B140982D64B0D0A73F4B0F51E781959CDE97E1B710B97FB641D0BDB4A36E1064AD03DEBD5EF346344678F96e7D9L" TargetMode = "External"/>
	<Relationship Id="rId502" Type="http://schemas.openxmlformats.org/officeDocument/2006/relationships/hyperlink" Target="consultantplus://offline/ref=03AED6AA07DB4155249B01FBD808E7DE3B140982D64600027CFAB0F51E781959CDE97E1B710B97FB641D02D34536E1064AD03DEBD5EF346344678F96e7D9L" TargetMode = "External"/>
	<Relationship Id="rId503" Type="http://schemas.openxmlformats.org/officeDocument/2006/relationships/hyperlink" Target="consultantplus://offline/ref=03AED6AA07DB4155249B01FBD808E7DE3B140982D64B0D0A73F4B0F51E781959CDE97E1B710B97FB641D0BDB4A36E1064AD03DEBD5EF346344678F96e7D9L" TargetMode = "External"/>
	<Relationship Id="rId504" Type="http://schemas.openxmlformats.org/officeDocument/2006/relationships/hyperlink" Target="consultantplus://offline/ref=03AED6AA07DB4155249B01FBD808E7DE3B140982D64B0D0A73F4B0F51E781959CDE97E1B710B97FB641D0BDB4A36E1064AD03DEBD5EF346344678F96e7D9L" TargetMode = "External"/>
	<Relationship Id="rId505" Type="http://schemas.openxmlformats.org/officeDocument/2006/relationships/hyperlink" Target="consultantplus://offline/ref=03AED6AA07DB4155249B01FBD808E7DE3B140982D64600027CFAB0F51E781959CDE97E1B710B97FB641D02D04C36E1064AD03DEBD5EF346344678F96e7D9L" TargetMode = "External"/>
	<Relationship Id="rId506" Type="http://schemas.openxmlformats.org/officeDocument/2006/relationships/hyperlink" Target="consultantplus://offline/ref=03AED6AA07DB4155249B01FBD808E7DE3B140982D64B0D0A73F4B0F51E781959CDE97E1B710B97FB641D0BDB4A36E1064AD03DEBD5EF346344678F96e7D9L" TargetMode = "External"/>
	<Relationship Id="rId507" Type="http://schemas.openxmlformats.org/officeDocument/2006/relationships/hyperlink" Target="consultantplus://offline/ref=03AED6AA07DB4155249B01FBD808E7DE3B140982D64B0D0A73F4B0F51E781959CDE97E1B710B97FB641D0BDB4A36E1064AD03DEBD5EF346344678F96e7D9L" TargetMode = "External"/>
	<Relationship Id="rId508" Type="http://schemas.openxmlformats.org/officeDocument/2006/relationships/hyperlink" Target="consultantplus://offline/ref=03AED6AA07DB4155249B01FBD808E7DE3B140982D64B0D0A73F4B0F51E781959CDE97E1B710B97FB641D0BDB4A36E1064AD03DEBD5EF346344678F96e7D9L" TargetMode = "External"/>
	<Relationship Id="rId509" Type="http://schemas.openxmlformats.org/officeDocument/2006/relationships/hyperlink" Target="consultantplus://offline/ref=03AED6AA07DB4155249B01FBD808E7DE3B140982D64B0D0A73F4B0F51E781959CDE97E1B710B97FB641D0BDB4A36E1064AD03DEBD5EF346344678F96e7D9L" TargetMode = "External"/>
	<Relationship Id="rId510" Type="http://schemas.openxmlformats.org/officeDocument/2006/relationships/hyperlink" Target="consultantplus://offline/ref=03AED6AA07DB4155249B01FBD808E7DE3B140982D64B0D0A73F4B0F51E781959CDE97E1B710B97FB641D0BDB4A36E1064AD03DEBD5EF346344678F96e7D9L" TargetMode = "External"/>
	<Relationship Id="rId511" Type="http://schemas.openxmlformats.org/officeDocument/2006/relationships/hyperlink" Target="consultantplus://offline/ref=03AED6AA07DB4155249B01FBD808E7DE3B140982D64B0D0A73F4B0F51E781959CDE97E1B710B97FB641D0BDB4A36E1064AD03DEBD5EF346344678F96e7D9L" TargetMode = "External"/>
	<Relationship Id="rId512" Type="http://schemas.openxmlformats.org/officeDocument/2006/relationships/hyperlink" Target="consultantplus://offline/ref=03AED6AA07DB4155249B01FBD808E7DE3B140982D64B0D0A73F4B0F51E781959CDE97E1B710B97FB641D0BDB4A36E1064AD03DEBD5EF346344678F96e7D9L" TargetMode = "External"/>
	<Relationship Id="rId513" Type="http://schemas.openxmlformats.org/officeDocument/2006/relationships/hyperlink" Target="consultantplus://offline/ref=03AED6AA07DB4155249B01FBD808E7DE3B140982D64B0D0A73F4B0F51E781959CDE97E1B710B97FB641D0BDB4A36E1064AD03DEBD5EF346344678F96e7D9L" TargetMode = "External"/>
	<Relationship Id="rId514" Type="http://schemas.openxmlformats.org/officeDocument/2006/relationships/hyperlink" Target="consultantplus://offline/ref=03AED6AA07DB4155249B01FBD808E7DE3B140982D64B0D0A73F4B0F51E781959CDE97E1B710B97FB641D0BDB4A36E1064AD03DEBD5EF346344678F96e7D9L" TargetMode = "External"/>
	<Relationship Id="rId515" Type="http://schemas.openxmlformats.org/officeDocument/2006/relationships/hyperlink" Target="consultantplus://offline/ref=03AED6AA07DB4155249B01FBD808E7DE3B140982D64B0D0A73F4B0F51E781959CDE97E1B710B97FB641D0BDB4A36E1064AD03DEBD5EF346344678F96e7D9L" TargetMode = "External"/>
	<Relationship Id="rId516" Type="http://schemas.openxmlformats.org/officeDocument/2006/relationships/hyperlink" Target="consultantplus://offline/ref=03AED6AA07DB4155249B01FBD808E7DE3B140982D64B0D0A73F4B0F51E781959CDE97E1B710B97FB641D0BDB4A36E1064AD03DEBD5EF346344678F96e7D9L" TargetMode = "External"/>
	<Relationship Id="rId517" Type="http://schemas.openxmlformats.org/officeDocument/2006/relationships/hyperlink" Target="consultantplus://offline/ref=03AED6AA07DB4155249B01FBD808E7DE3B140982D64B0D0A73F4B0F51E781959CDE97E1B710B97FB641D0BDB4A36E1064AD03DEBD5EF346344678F96e7D9L" TargetMode = "External"/>
	<Relationship Id="rId518" Type="http://schemas.openxmlformats.org/officeDocument/2006/relationships/hyperlink" Target="consultantplus://offline/ref=03AED6AA07DB4155249B01FBD808E7DE3B140982D64600027CFAB0F51E781959CDE97E1B710B97FB641D02D04E36E1064AD03DEBD5EF346344678F96e7D9L" TargetMode = "External"/>
	<Relationship Id="rId519" Type="http://schemas.openxmlformats.org/officeDocument/2006/relationships/hyperlink" Target="consultantplus://offline/ref=03AED6AA07DB4155249B01FBD808E7DE3B140982D64600027CFAB0F51E781959CDE97E1B710B97FB641D02D04836E1064AD03DEBD5EF346344678F96e7D9L" TargetMode = "External"/>
	<Relationship Id="rId520" Type="http://schemas.openxmlformats.org/officeDocument/2006/relationships/hyperlink" Target="consultantplus://offline/ref=03AED6AA07DB4155249B01FBD808E7DE3B140982D64B0D0A73F4B0F51E781959CDE97E1B710B97FB641D0BDB4A36E1064AD03DEBD5EF346344678F96e7D9L" TargetMode = "External"/>
	<Relationship Id="rId521" Type="http://schemas.openxmlformats.org/officeDocument/2006/relationships/hyperlink" Target="consultantplus://offline/ref=03AED6AA07DB4155249B01FBD808E7DE3B140982D64503097DFEB0F51E781959CDE97E1B710B97FB641D03D14836E1064AD03DEBD5EF346344678F96e7D9L" TargetMode = "External"/>
	<Relationship Id="rId522" Type="http://schemas.openxmlformats.org/officeDocument/2006/relationships/hyperlink" Target="consultantplus://offline/ref=03AED6AA07DB4155249B1FF6CE64B0D1391E5E8FD0450F5D27A8B6A241281F0C8DA9784E324F9AFA621657830868B855089B31E8CDF33560e5D9L" TargetMode = "External"/>
	<Relationship Id="rId523" Type="http://schemas.openxmlformats.org/officeDocument/2006/relationships/hyperlink" Target="consultantplus://offline/ref=03AED6AA07DB4155249B01FBD808E7DE3B140982D64B0D0A73F4B0F51E781959CDE97E1B710B97FB641D0BDB4A36E1064AD03DEBD5EF346344678F96e7D9L" TargetMode = "External"/>
	<Relationship Id="rId524" Type="http://schemas.openxmlformats.org/officeDocument/2006/relationships/hyperlink" Target="consultantplus://offline/ref=03AED6AA07DB4155249B01FBD808E7DE3B140982D64503097DFEB0F51E781959CDE97E1B710B97FB641D03D14936E1064AD03DEBD5EF346344678F96e7D9L" TargetMode = "External"/>
	<Relationship Id="rId525" Type="http://schemas.openxmlformats.org/officeDocument/2006/relationships/hyperlink" Target="consultantplus://offline/ref=03AED6AA07DB4155249B01FBD808E7DE3B140982D64B0D0A73F4B0F51E781959CDE97E1B710B97FB641D0BDB4A36E1064AD03DEBD5EF346344678F96e7D9L" TargetMode = "External"/>
	<Relationship Id="rId526" Type="http://schemas.openxmlformats.org/officeDocument/2006/relationships/hyperlink" Target="consultantplus://offline/ref=03AED6AA07DB4155249B01FBD808E7DE3B140982D64600027CFAB0F51E781959CDE97E1B710B97FB641D02D04936E1064AD03DEBD5EF346344678F96e7D9L" TargetMode = "External"/>
	<Relationship Id="rId527" Type="http://schemas.openxmlformats.org/officeDocument/2006/relationships/hyperlink" Target="consultantplus://offline/ref=03AED6AA07DB4155249B01FBD808E7DE3B140982D64600027CFAB0F51E781959CDE97E1B710B97FB641D02D04B36E1064AD03DEBD5EF346344678F96e7D9L" TargetMode = "External"/>
	<Relationship Id="rId528" Type="http://schemas.openxmlformats.org/officeDocument/2006/relationships/hyperlink" Target="consultantplus://offline/ref=03AED6AA07DB4155249B01FBD808E7DE3B140982D64600027CFAB0F51E781959CDE97E1B710B97FB641D02D04436E1064AD03DEBD5EF346344678F96e7D9L" TargetMode = "External"/>
	<Relationship Id="rId529" Type="http://schemas.openxmlformats.org/officeDocument/2006/relationships/hyperlink" Target="consultantplus://offline/ref=03AED6AA07DB4155249B01FBD808E7DE3B140982D64B0D0A73F4B0F51E781959CDE97E1B710B97FB641D0BDB4A36E1064AD03DEBD5EF346344678F96e7D9L" TargetMode = "External"/>
	<Relationship Id="rId530" Type="http://schemas.openxmlformats.org/officeDocument/2006/relationships/hyperlink" Target="consultantplus://offline/ref=03AED6AA07DB4155249B01FBD808E7DE3B140982D64B0D0A73F4B0F51E781959CDE97E1B710B97FB641D0BDB4A36E1064AD03DEBD5EF346344678F96e7D9L" TargetMode = "External"/>
	<Relationship Id="rId531" Type="http://schemas.openxmlformats.org/officeDocument/2006/relationships/hyperlink" Target="consultantplus://offline/ref=03AED6AA07DB4155249B01FBD808E7DE3B140982D64600027CFAB0F51E781959CDE97E1B710B97FB641D02D04536E1064AD03DEBD5EF346344678F96e7D9L" TargetMode = "External"/>
	<Relationship Id="rId532" Type="http://schemas.openxmlformats.org/officeDocument/2006/relationships/hyperlink" Target="consultantplus://offline/ref=03AED6AA07DB4155249B01FBD808E7DE3B140982D64B0D0A73F4B0F51E781959CDE97E1B710B97FB641D0BDB4A36E1064AD03DEBD5EF346344678F96e7D9L" TargetMode = "External"/>
	<Relationship Id="rId533" Type="http://schemas.openxmlformats.org/officeDocument/2006/relationships/hyperlink" Target="consultantplus://offline/ref=03AED6AA07DB4155249B01FBD808E7DE3B140982D64B0D0A73F4B0F51E781959CDE97E1B710B97FB641D0BDB4A36E1064AD03DEBD5EF346344678F96e7D9L" TargetMode = "External"/>
	<Relationship Id="rId534" Type="http://schemas.openxmlformats.org/officeDocument/2006/relationships/hyperlink" Target="consultantplus://offline/ref=03AED6AA07DB4155249B01FBD808E7DE3B140982D64503097DFEB0F51E781959CDE97E1B710B97FB641D03D14A36E1064AD03DEBD5EF346344678F96e7D9L" TargetMode = "External"/>
	<Relationship Id="rId535" Type="http://schemas.openxmlformats.org/officeDocument/2006/relationships/hyperlink" Target="consultantplus://offline/ref=03AED6AA07DB4155249B01FBD808E7DE3B140982D64B0D0A73F4B0F51E781959CDE97E1B710B97FB641D0BDB4A36E1064AD03DEBD5EF346344678F96e7D9L" TargetMode = "External"/>
	<Relationship Id="rId536" Type="http://schemas.openxmlformats.org/officeDocument/2006/relationships/hyperlink" Target="consultantplus://offline/ref=03AED6AA07DB4155249B01FBD808E7DE3B140982D64503097DFEB0F51E781959CDE97E1B710B97FB641D03D14B36E1064AD03DEBD5EF346344678F96e7D9L" TargetMode = "External"/>
	<Relationship Id="rId537" Type="http://schemas.openxmlformats.org/officeDocument/2006/relationships/hyperlink" Target="consultantplus://offline/ref=03AED6AA07DB4155249B01FBD808E7DE3B140982D64B0D0A73F4B0F51E781959CDE97E1B710B97FB641D0BDB4A36E1064AD03DEBD5EF346344678F96e7D9L" TargetMode = "External"/>
	<Relationship Id="rId538" Type="http://schemas.openxmlformats.org/officeDocument/2006/relationships/hyperlink" Target="consultantplus://offline/ref=03AED6AA07DB4155249B01FBD808E7DE3B140982D64B0D0A73F4B0F51E781959CDE97E1B710B97FB641D0BDB4A36E1064AD03DEBD5EF346344678F96e7D9L" TargetMode = "External"/>
	<Relationship Id="rId539" Type="http://schemas.openxmlformats.org/officeDocument/2006/relationships/hyperlink" Target="consultantplus://offline/ref=03AED6AA07DB4155249B01FBD808E7DE3B140982D64503097DFEB0F51E781959CDE97E1B710B97FB641D03D14436E1064AD03DEBD5EF346344678F96e7D9L" TargetMode = "External"/>
	<Relationship Id="rId540" Type="http://schemas.openxmlformats.org/officeDocument/2006/relationships/hyperlink" Target="consultantplus://offline/ref=03AED6AA07DB4155249B01FBD808E7DE3B140982D64600027CFAB0F51E781959CDE97E1B710B97FB641D02D14C36E1064AD03DEBD5EF346344678F96e7D9L" TargetMode = "External"/>
	<Relationship Id="rId541" Type="http://schemas.openxmlformats.org/officeDocument/2006/relationships/hyperlink" Target="consultantplus://offline/ref=03AED6AA07DB4155249B01FBD808E7DE3B140982D64503097DFEB0F51E781959CDE97E1B710B97FB641D03D64C36E1064AD03DEBD5EF346344678F96e7D9L" TargetMode = "External"/>
	<Relationship Id="rId542" Type="http://schemas.openxmlformats.org/officeDocument/2006/relationships/hyperlink" Target="consultantplus://offline/ref=03AED6AA07DB4155249B01FBD808E7DE3B140982D64B0D0A73F4B0F51E781959CDE97E1B710B97FB641D0AD14936E1064AD03DEBD5EF346344678F96e7D9L" TargetMode = "External"/>
	<Relationship Id="rId543" Type="http://schemas.openxmlformats.org/officeDocument/2006/relationships/hyperlink" Target="consultantplus://offline/ref=03AED6AA07DB4155249B01FBD808E7DE3B140982D64B0D0A73F4B0F51E781959CDE97E1B710B97FB641D0BDB4A36E1064AD03DEBD5EF346344678F96e7D9L" TargetMode = "External"/>
	<Relationship Id="rId544" Type="http://schemas.openxmlformats.org/officeDocument/2006/relationships/hyperlink" Target="consultantplus://offline/ref=03AED6AA07DB4155249B01FBD808E7DE3B140982D64B0D0A73F4B0F51E781959CDE97E1B710B97FB641D0BDB4A36E1064AD03DEBD5EF346344678F96e7D9L" TargetMode = "External"/>
	<Relationship Id="rId545" Type="http://schemas.openxmlformats.org/officeDocument/2006/relationships/hyperlink" Target="consultantplus://offline/ref=03AED6AA07DB4155249B01FBD808E7DE3B140982D64B0D0A73F4B0F51E781959CDE97E1B710B97FB641D0BDB4A36E1064AD03DEBD5EF346344678F96e7D9L" TargetMode = "External"/>
	<Relationship Id="rId546" Type="http://schemas.openxmlformats.org/officeDocument/2006/relationships/hyperlink" Target="consultantplus://offline/ref=03AED6AA07DB4155249B01FBD808E7DE3B140982D64B0D0A73F4B0F51E781959CDE97E1B710B97FB641D0BDB4A36E1064AD03DEBD5EF346344678F96e7D9L" TargetMode = "External"/>
	<Relationship Id="rId547" Type="http://schemas.openxmlformats.org/officeDocument/2006/relationships/hyperlink" Target="consultantplus://offline/ref=03AED6AA07DB4155249B01FBD808E7DE3B140982D64B0D0A73F4B0F51E781959CDE97E1B710B97FB641D0BDB4A36E1064AD03DEBD5EF346344678F96e7D9L" TargetMode = "External"/>
	<Relationship Id="rId548" Type="http://schemas.openxmlformats.org/officeDocument/2006/relationships/hyperlink" Target="consultantplus://offline/ref=03AED6AA07DB4155249B01FBD808E7DE3B140982D64600027CFAB0F51E781959CDE97E1B710B97FB641D02D14E36E1064AD03DEBD5EF346344678F96e7D9L" TargetMode = "External"/>
	<Relationship Id="rId549" Type="http://schemas.openxmlformats.org/officeDocument/2006/relationships/hyperlink" Target="consultantplus://offline/ref=03AED6AA07DB4155249B01FBD808E7DE3B140982D64600027CFAB0F51E781959CDE97E1B710B97FB641D02D14836E1064AD03DEBD5EF346344678F96e7D9L" TargetMode = "External"/>
	<Relationship Id="rId550" Type="http://schemas.openxmlformats.org/officeDocument/2006/relationships/hyperlink" Target="consultantplus://offline/ref=03AED6AA07DB4155249B01FBD808E7DE3B140982D64600027CFAB0F51E781959CDE97E1B710B97FB641D02D14B36E1064AD03DEBD5EF346344678F96e7D9L" TargetMode = "External"/>
	<Relationship Id="rId551" Type="http://schemas.openxmlformats.org/officeDocument/2006/relationships/hyperlink" Target="consultantplus://offline/ref=03AED6AA07DB4155249B01FBD808E7DE3B140982D64B0D0A73F4B0F51E781959CDE97E1B710B97FB641D0BDB4A36E1064AD03DEBD5EF346344678F96e7D9L" TargetMode = "External"/>
	<Relationship Id="rId552" Type="http://schemas.openxmlformats.org/officeDocument/2006/relationships/hyperlink" Target="consultantplus://offline/ref=03AED6AA07DB4155249B01FBD808E7DE3B140982D64B0D0A73F4B0F51E781959CDE97E1B710B97FB641D0BDB4A36E1064AD03DEBD5EF346344678F96e7D9L" TargetMode = "External"/>
	<Relationship Id="rId553" Type="http://schemas.openxmlformats.org/officeDocument/2006/relationships/hyperlink" Target="consultantplus://offline/ref=03AED6AA07DB4155249B01FBD808E7DE3B140982D64503097DFEB0F51E781959CDE97E1B710B97FB641D03D64C36E1064AD03DEBD5EF346344678F96e7D9L" TargetMode = "External"/>
	<Relationship Id="rId554" Type="http://schemas.openxmlformats.org/officeDocument/2006/relationships/hyperlink" Target="consultantplus://offline/ref=03AED6AA07DB4155249B01FBD808E7DE3B140982D64B0D0A73F4B0F51E781959CDE97E1B710B97FB641D0BDB4A36E1064AD03DEBD5EF346344678F96e7D9L" TargetMode = "External"/>
	<Relationship Id="rId555" Type="http://schemas.openxmlformats.org/officeDocument/2006/relationships/hyperlink" Target="consultantplus://offline/ref=03AED6AA07DB4155249B01FBD808E7DE3B140982D64B0D0A73F4B0F51E781959CDE97E1B710B97FB641D0BDB4A36E1064AD03DEBD5EF346344678F96e7D9L" TargetMode = "External"/>
	<Relationship Id="rId556" Type="http://schemas.openxmlformats.org/officeDocument/2006/relationships/hyperlink" Target="consultantplus://offline/ref=03AED6AA07DB4155249B01FBD808E7DE3B140982D64600027CFAB0F51E781959CDE97E1B710B97FB641D02D14436E1064AD03DEBD5EF346344678F96e7D9L" TargetMode = "External"/>
	<Relationship Id="rId557" Type="http://schemas.openxmlformats.org/officeDocument/2006/relationships/hyperlink" Target="consultantplus://offline/ref=03AED6AA07DB4155249B01FBD808E7DE3B140982D64600027CFAB0F51E781959CDE97E1B710B97FB641D02D64C36E1064AD03DEBD5EF346344678F96e7D9L" TargetMode = "External"/>
	<Relationship Id="rId558" Type="http://schemas.openxmlformats.org/officeDocument/2006/relationships/hyperlink" Target="consultantplus://offline/ref=03AED6AA07DB4155249B01FBD808E7DE3B140982D64B0D0A73F4B0F51E781959CDE97E1B710B97FB641D0BDB4A36E1064AD03DEBD5EF346344678F96e7D9L" TargetMode = "External"/>
	<Relationship Id="rId559" Type="http://schemas.openxmlformats.org/officeDocument/2006/relationships/hyperlink" Target="consultantplus://offline/ref=03AED6AA07DB4155249B01FBD808E7DE3B140982D64600027CFAB0F51E781959CDE97E1B710B97FB641D02D64D36E1064AD03DEBD5EF346344678F96e7D9L" TargetMode = "External"/>
	<Relationship Id="rId560" Type="http://schemas.openxmlformats.org/officeDocument/2006/relationships/hyperlink" Target="consultantplus://offline/ref=03AED6AA07DB4155249B01FBD808E7DE3B140982D64600027CFAB0F51E781959CDE97E1B710B97FB641D02D64E36E1064AD03DEBD5EF346344678F96e7D9L" TargetMode = "External"/>
	<Relationship Id="rId561" Type="http://schemas.openxmlformats.org/officeDocument/2006/relationships/hyperlink" Target="consultantplus://offline/ref=03AED6AA07DB4155249B01FBD808E7DE3B140982D64600027CFAB0F51E781959CDE97E1B710B97FB641D02D64F36E1064AD03DEBD5EF346344678F96e7D9L" TargetMode = "External"/>
	<Relationship Id="rId562" Type="http://schemas.openxmlformats.org/officeDocument/2006/relationships/hyperlink" Target="consultantplus://offline/ref=03AED6AA07DB4155249B01FBD808E7DE3B140982D64600027CFAB0F51E781959CDE97E1B710B97FB641D02D64836E1064AD03DEBD5EF346344678F96e7D9L" TargetMode = "External"/>
	<Relationship Id="rId563" Type="http://schemas.openxmlformats.org/officeDocument/2006/relationships/hyperlink" Target="consultantplus://offline/ref=03AED6AA07DB4155249B01FBD808E7DE3B140982D64600027CFAB0F51E781959CDE97E1B710B97FB641D02D64B36E1064AD03DEBD5EF346344678F96e7D9L" TargetMode = "External"/>
	<Relationship Id="rId564" Type="http://schemas.openxmlformats.org/officeDocument/2006/relationships/hyperlink" Target="consultantplus://offline/ref=03AED6AA07DB4155249B01FBD808E7DE3B140982D644010E79F9B0F51E781959CDE97E1B710B97FB641D03D24936E1064AD03DEBD5EF346344678F96e7D9L" TargetMode = "External"/>
	<Relationship Id="rId565" Type="http://schemas.openxmlformats.org/officeDocument/2006/relationships/hyperlink" Target="consultantplus://offline/ref=03AED6AA07DB4155249B01FBD808E7DE3B140982D64A050B73FFB0F51E781959CDE97E1B710B97FB641D03D34836E1064AD03DEBD5EF346344678F96e7D9L" TargetMode = "External"/>
	<Relationship Id="rId566" Type="http://schemas.openxmlformats.org/officeDocument/2006/relationships/hyperlink" Target="consultantplus://offline/ref=03AED6AA07DB4155249B01FBD808E7DE3B140982D64600027CFAB0F51E781959CDE97E1B710B97FB641D02D54536E1064AD03DEBD5EF346344678F96e7D9L" TargetMode = "External"/>
	<Relationship Id="rId567" Type="http://schemas.openxmlformats.org/officeDocument/2006/relationships/hyperlink" Target="consultantplus://offline/ref=03AED6AA07DB4155249B01FBD808E7DE3B140982D645010A7EF9B0F51E781959CDE97E1B710B97FB641D02D24E36E1064AD03DEBD5EF346344678F96e7D9L" TargetMode = "External"/>
	<Relationship Id="rId568" Type="http://schemas.openxmlformats.org/officeDocument/2006/relationships/hyperlink" Target="consultantplus://offline/ref=03AED6AA07DB4155249B1FF6CE64B0D13919568FDC460F5D27A8B6A241281F0C8DA9784B35469EF1304C4787413FB3490F842EEBD3F3e3D6L" TargetMode = "External"/>
	<Relationship Id="rId569" Type="http://schemas.openxmlformats.org/officeDocument/2006/relationships/hyperlink" Target="consultantplus://offline/ref=03AED6AA07DB4155249B1FF6CE64B0D1391C528CDC420F5D27A8B6A241281F0C8DA9784E324F9AFB6C1657830868B855089B31E8CDF33560e5D9L" TargetMode = "External"/>
	<Relationship Id="rId570" Type="http://schemas.openxmlformats.org/officeDocument/2006/relationships/hyperlink" Target="consultantplus://offline/ref=03AED6AA07DB4155249B01FBD808E7DE3B140982D64B0D0A73F4B0F51E781959CDE97E1B710B97FB641C03D34C36E1064AD03DEBD5EF346344678F96e7D9L" TargetMode = "External"/>
	<Relationship Id="rId571" Type="http://schemas.openxmlformats.org/officeDocument/2006/relationships/hyperlink" Target="consultantplus://offline/ref=03AED6AA07DB4155249B01FBD808E7DE3B140982D6440C097EFBB0F51E781959CDE97E1B710B97FB641D03D14B36E1064AD03DEBD5EF346344678F96e7D9L" TargetMode = "External"/>
	<Relationship Id="rId572" Type="http://schemas.openxmlformats.org/officeDocument/2006/relationships/hyperlink" Target="consultantplus://offline/ref=03AED6AA07DB4155249B1FF6CE64B0D1391C528CDC420F5D27A8B6A241281F0C8DA9784C3344CEAB20480ED04A23B456108730EBeDD0L" TargetMode = "External"/>
	<Relationship Id="rId573" Type="http://schemas.openxmlformats.org/officeDocument/2006/relationships/hyperlink" Target="consultantplus://offline/ref=03AED6AA07DB4155249B01FBD808E7DE3B140982D645010A7EF9B0F51E781959CDE97E1B710B97FB641D02D24F36E1064AD03DEBD5EF346344678F96e7D9L" TargetMode = "External"/>
	<Relationship Id="rId574" Type="http://schemas.openxmlformats.org/officeDocument/2006/relationships/hyperlink" Target="consultantplus://offline/ref=03AED6AA07DB4155249B01FBD808E7DE3B140982D6440C097EFBB0F51E781959CDE97E1B710B97FB641D03D14B36E1064AD03DEBD5EF346344678F96e7D9L" TargetMode = "External"/>
	<Relationship Id="rId575" Type="http://schemas.openxmlformats.org/officeDocument/2006/relationships/hyperlink" Target="consultantplus://offline/ref=03AED6AA07DB4155249B01FBD808E7DE3B140982D645010A7EF9B0F51E781959CDE97E1B710B97FB641D02D24B36E1064AD03DEBD5EF346344678F96e7D9L" TargetMode = "External"/>
	<Relationship Id="rId576" Type="http://schemas.openxmlformats.org/officeDocument/2006/relationships/hyperlink" Target="consultantplus://offline/ref=03AED6AA07DB4155249B01FBD808E7DE3B140982D645010A7EF9B0F51E781959CDE97E1B710B97FB641D02D24436E1064AD03DEBD5EF346344678F96e7D9L" TargetMode = "External"/>
	<Relationship Id="rId577" Type="http://schemas.openxmlformats.org/officeDocument/2006/relationships/hyperlink" Target="consultantplus://offline/ref=03AED6AA07DB4155249B01FBD808E7DE3B140982D645010A7EF9B0F51E781959CDE97E1B710B97FB641D02D34C36E1064AD03DEBD5EF346344678F96e7D9L" TargetMode = "External"/>
	<Relationship Id="rId578" Type="http://schemas.openxmlformats.org/officeDocument/2006/relationships/hyperlink" Target="consultantplus://offline/ref=03AED6AA07DB4155249B01FBD808E7DE3B140982D645010A7EF9B0F51E781959CDE97E1B710B97FB641D02D34836E1064AD03DEBD5EF346344678F96e7D9L" TargetMode = "External"/>
	<Relationship Id="rId579" Type="http://schemas.openxmlformats.org/officeDocument/2006/relationships/hyperlink" Target="consultantplus://offline/ref=03AED6AA07DB4155249B01FBD808E7DE3B140982D645010A7EF9B0F51E781959CDE97E1B710B97FB641D02D34A36E1064AD03DEBD5EF346344678F96e7D9L" TargetMode = "External"/>
	<Relationship Id="rId580" Type="http://schemas.openxmlformats.org/officeDocument/2006/relationships/hyperlink" Target="consultantplus://offline/ref=03AED6AA07DB4155249B01FBD808E7DE3B140982D645010A7EF9B0F51E781959CDE97E1B710B97FB641D02D34B36E1064AD03DEBD5EF346344678F96e7D9L" TargetMode = "External"/>
	<Relationship Id="rId581" Type="http://schemas.openxmlformats.org/officeDocument/2006/relationships/hyperlink" Target="consultantplus://offline/ref=03AED6AA07DB4155249B1FF6CE64B0D13919568FDC460F5D27A8B6A241281F0C8DA9784C354F9EF1304C4787413FB3490F842EEBD3F3e3D6L" TargetMode = "External"/>
	<Relationship Id="rId582" Type="http://schemas.openxmlformats.org/officeDocument/2006/relationships/hyperlink" Target="consultantplus://offline/ref=03AED6AA07DB4155249B1FF6CE64B0D13919568FDC460F5D27A8B6A241281F0C8DA9784C354D98F1304C4787413FB3490F842EEBD3F3e3D6L" TargetMode = "External"/>
	<Relationship Id="rId583" Type="http://schemas.openxmlformats.org/officeDocument/2006/relationships/hyperlink" Target="consultantplus://offline/ref=03AED6AA07DB4155249B01FBD808E7DE3B140982D64600027CFAB0F51E781959CDE97E1B710B97FB641D02DA4D36E1064AD03DEBD5EF346344678F96e7D9L" TargetMode = "External"/>
	<Relationship Id="rId584" Type="http://schemas.openxmlformats.org/officeDocument/2006/relationships/hyperlink" Target="consultantplus://offline/ref=03AED6AA07DB4155249B01FBD808E7DE3B140982D64600027CFAB0F51E781959CDE97E1B710B97FB641D02DA4836E1064AD03DEBD5EF346344678F96e7D9L" TargetMode = "External"/>
	<Relationship Id="rId585" Type="http://schemas.openxmlformats.org/officeDocument/2006/relationships/hyperlink" Target="consultantplus://offline/ref=03AED6AA07DB4155249B01FBD808E7DE3B140982D64600027CFAB0F51E781959CDE97E1B710B97FB641D02DA4B36E1064AD03DEBD5EF346344678F96e7D9L" TargetMode = "External"/>
	<Relationship Id="rId586" Type="http://schemas.openxmlformats.org/officeDocument/2006/relationships/hyperlink" Target="consultantplus://offline/ref=03AED6AA07DB4155249B1FF6CE64B0D13919568FDC460F5D27A8B6A241281F0C8DA9784C354F9EF1304C4787413FB3490F842EEBD3F3e3D6L" TargetMode = "External"/>
	<Relationship Id="rId587" Type="http://schemas.openxmlformats.org/officeDocument/2006/relationships/hyperlink" Target="consultantplus://offline/ref=03AED6AA07DB4155249B1FF6CE64B0D13919568FDC460F5D27A8B6A241281F0C8DA9784C354D98F1304C4787413FB3490F842EEBD3F3e3D6L" TargetMode = "External"/>
	<Relationship Id="rId588" Type="http://schemas.openxmlformats.org/officeDocument/2006/relationships/hyperlink" Target="consultantplus://offline/ref=03AED6AA07DB4155249B01FBD808E7DE3B140982D64600027CFAB0F51E781959CDE97E1B710B97FB641D02DA4436E1064AD03DEBD5EF346344678F96e7D9L" TargetMode = "External"/>
	<Relationship Id="rId589" Type="http://schemas.openxmlformats.org/officeDocument/2006/relationships/hyperlink" Target="consultantplus://offline/ref=03AED6AA07DB4155249B01FBD808E7DE3B140982D6460C0E73FEB0F51E781959CDE97E1B710B97FB641D03D04436E1064AD03DEBD5EF346344678F96e7D9L" TargetMode = "External"/>
	<Relationship Id="rId590" Type="http://schemas.openxmlformats.org/officeDocument/2006/relationships/hyperlink" Target="consultantplus://offline/ref=03AED6AA07DB4155249B01FBD808E7DE3B140982D6460C0E73FEB0F51E781959CDE97E1B710B97FB641D03D04436E1064AD03DEBD5EF346344678F96e7D9L" TargetMode = "External"/>
	<Relationship Id="rId591" Type="http://schemas.openxmlformats.org/officeDocument/2006/relationships/hyperlink" Target="consultantplus://offline/ref=03AED6AA07DB4155249B1FF6CE64B0D1391C548CD4470F5D27A8B6A241281F0C8DA9784E324F93F8651657830868B855089B31E8CDF33560e5D9L" TargetMode = "External"/>
	<Relationship Id="rId592" Type="http://schemas.openxmlformats.org/officeDocument/2006/relationships/hyperlink" Target="consultantplus://offline/ref=03AED6AA07DB4155249B01FBD808E7DE3B140982D6460C0E73FEB0F51E781959CDE97E1B710B97FB641D03D04436E1064AD03DEBD5EF346344678F96e7D9L" TargetMode = "External"/>
	<Relationship Id="rId593" Type="http://schemas.openxmlformats.org/officeDocument/2006/relationships/hyperlink" Target="consultantplus://offline/ref=03AED6AA07DB4155249B01FBD808E7DE3B140982D6460C0E73FEB0F51E781959CDE97E1B710B97FB641D03D04436E1064AD03DEBD5EF346344678F96e7D9L" TargetMode = "External"/>
	<Relationship Id="rId594" Type="http://schemas.openxmlformats.org/officeDocument/2006/relationships/hyperlink" Target="consultantplus://offline/ref=03AED6AA07DB4155249B01FBD808E7DE3B140982D6460C0E73FEB0F51E781959CDE97E1B710B97FB641D03D04436E1064AD03DEBD5EF346344678F96e7D9L" TargetMode = "External"/>
	<Relationship Id="rId595" Type="http://schemas.openxmlformats.org/officeDocument/2006/relationships/hyperlink" Target="consultantplus://offline/ref=03AED6AA07DB4155249B01FBD808E7DE3B140982D6460C0E73FEB0F51E781959CDE97E1B710B97FB641D03D04436E1064AD03DEBD5EF346344678F96e7D9L" TargetMode = "External"/>
	<Relationship Id="rId596" Type="http://schemas.openxmlformats.org/officeDocument/2006/relationships/hyperlink" Target="consultantplus://offline/ref=03AED6AA07DB4155249B01FBD808E7DE3B140982D64502097AF9B0F51E781959CDE97E1B630BCFF7661B1DD34D23B7570Ce8D6L" TargetMode = "External"/>
	<Relationship Id="rId597" Type="http://schemas.openxmlformats.org/officeDocument/2006/relationships/hyperlink" Target="consultantplus://offline/ref=03AED6AA07DB4155249B01FBD808E7DE3B140982D6460C0E73FEB0F51E781959CDE97E1B710B97FB641D03D04436E1064AD03DEBD5EF346344678F96e7D9L" TargetMode = "External"/>
	<Relationship Id="rId598" Type="http://schemas.openxmlformats.org/officeDocument/2006/relationships/hyperlink" Target="consultantplus://offline/ref=03AED6AA07DB4155249B01FBD808E7DE3B140982D6460C0E73FEB0F51E781959CDE97E1B710B97FB641D03D04436E1064AD03DEBD5EF346344678F96e7D9L" TargetMode = "External"/>
	<Relationship Id="rId599" Type="http://schemas.openxmlformats.org/officeDocument/2006/relationships/hyperlink" Target="consultantplus://offline/ref=03AED6AA07DB4155249B01FBD808E7DE3B140982D6460C0E73FEB0F51E781959CDE97E1B710B97FB641D03D04436E1064AD03DEBD5EF346344678F96e7D9L" TargetMode = "External"/>
	<Relationship Id="rId600" Type="http://schemas.openxmlformats.org/officeDocument/2006/relationships/hyperlink" Target="consultantplus://offline/ref=03AED6AA07DB4155249B01FBD808E7DE3B140982D64600027CFAB0F51E781959CDE97E1B710B97FB641D02DB4D36E1064AD03DEBD5EF346344678F96e7D9L" TargetMode = "External"/>
	<Relationship Id="rId601" Type="http://schemas.openxmlformats.org/officeDocument/2006/relationships/hyperlink" Target="consultantplus://offline/ref=03AED6AA07DB4155249B01FBD808E7DE3B140982D645010A7EF9B0F51E781959CDE97E1B710B97FB641D02D34436E1064AD03DEBD5EF346344678F96e7D9L" TargetMode = "External"/>
	<Relationship Id="rId602" Type="http://schemas.openxmlformats.org/officeDocument/2006/relationships/hyperlink" Target="consultantplus://offline/ref=03AED6AA07DB4155249B01FBD808E7DE3B140982D644030D7EF5B0F51E781959CDE97E1B710B97FB641D03D24936E1064AD03DEBD5EF346344678F96e7D9L" TargetMode = "External"/>
	<Relationship Id="rId603" Type="http://schemas.openxmlformats.org/officeDocument/2006/relationships/hyperlink" Target="consultantplus://offline/ref=03AED6AA07DB4155249B01FBD808E7DE3B140982D64B0D0879FDB0F51E781959CDE97E1B710B97FB641D03D24B36E1064AD03DEBD5EF346344678F96e7D9L" TargetMode = "External"/>
	<Relationship Id="rId604" Type="http://schemas.openxmlformats.org/officeDocument/2006/relationships/hyperlink" Target="consultantplus://offline/ref=03AED6AA07DB4155249B01FBD808E7DE3B140982D644030D7EF5B0F51E781959CDE97E1B710B97FB641D03D24936E1064AD03DEBD5EF346344678F96e7D9L" TargetMode = "External"/>
	<Relationship Id="rId605" Type="http://schemas.openxmlformats.org/officeDocument/2006/relationships/hyperlink" Target="consultantplus://offline/ref=03AED6AA07DB4155249B01FBD808E7DE3B140982D64B0D0879FDB0F51E781959CDE97E1B710B97FB641D03D24B36E1064AD03DEBD5EF346344678F96e7D9L" TargetMode = "External"/>
	<Relationship Id="rId606" Type="http://schemas.openxmlformats.org/officeDocument/2006/relationships/hyperlink" Target="consultantplus://offline/ref=03AED6AA07DB4155249B01FBD808E7DE3B140982D645010A7EF9B0F51E781959CDE97E1B710B97FB641D02D04D36E1064AD03DEBD5EF346344678F96e7D9L" TargetMode = "External"/>
	<Relationship Id="rId607" Type="http://schemas.openxmlformats.org/officeDocument/2006/relationships/hyperlink" Target="consultantplus://offline/ref=03AED6AA07DB4155249B01FBD808E7DE3B140982D645000C79FBB0F51E781959CDE97E1B710B97FB641D03D24436E1064AD03DEBD5EF346344678F96e7D9L" TargetMode = "External"/>
	<Relationship Id="rId608" Type="http://schemas.openxmlformats.org/officeDocument/2006/relationships/hyperlink" Target="consultantplus://offline/ref=03AED6AA07DB4155249B01FBD808E7DE3B140982D644000E7CF8B0F51E781959CDE97E1B710B97FB641D03D04E36E1064AD03DEBD5EF346344678F96e7D9L" TargetMode = "External"/>
	<Relationship Id="rId609" Type="http://schemas.openxmlformats.org/officeDocument/2006/relationships/hyperlink" Target="consultantplus://offline/ref=03AED6AA07DB4155249B01FBD808E7DE3B140982D64B0D0879FDB0F51E781959CDE97E1B710B97FB641D03D34936E1064AD03DEBD5EF346344678F96e7D9L" TargetMode = "External"/>
	<Relationship Id="rId610" Type="http://schemas.openxmlformats.org/officeDocument/2006/relationships/hyperlink" Target="consultantplus://offline/ref=03AED6AA07DB4155249B01FBD808E7DE3B140982D64B0D0A73F4B0F51E781959CDE97E1B710B97FB621908861D79E05A0C832EE8D2EF376258e6D6L" TargetMode = "External"/>
	<Relationship Id="rId611" Type="http://schemas.openxmlformats.org/officeDocument/2006/relationships/hyperlink" Target="consultantplus://offline/ref=03AED6AA07DB4155249B01FBD808E7DE3B140982D644000E7CF8B0F51E781959CDE97E1B710B97FB641D03D04E36E1064AD03DEBD5EF346344678F96e7D9L" TargetMode = "External"/>
	<Relationship Id="rId612" Type="http://schemas.openxmlformats.org/officeDocument/2006/relationships/hyperlink" Target="consultantplus://offline/ref=03AED6AA07DB4155249B01FBD808E7DE3B140982D64B0D0879FDB0F51E781959CDE97E1B710B97FB641D03D34B36E1064AD03DEBD5EF346344678F96e7D9L" TargetMode = "External"/>
	<Relationship Id="rId613" Type="http://schemas.openxmlformats.org/officeDocument/2006/relationships/hyperlink" Target="consultantplus://offline/ref=03AED6AA07DB4155249B01FBD808E7DE3B140982D64B0D0879FDB0F51E781959CDE97E1B710B97FB641D03D04D36E1064AD03DEBD5EF346344678F96e7D9L" TargetMode = "External"/>
	<Relationship Id="rId614" Type="http://schemas.openxmlformats.org/officeDocument/2006/relationships/hyperlink" Target="consultantplus://offline/ref=03AED6AA07DB4155249B01FBD808E7DE3B140982D64B0D0879FDB0F51E781959CDE97E1B710B97FB641D03D04E36E1064AD03DEBD5EF346344678F96e7D9L" TargetMode = "External"/>
	<Relationship Id="rId615" Type="http://schemas.openxmlformats.org/officeDocument/2006/relationships/hyperlink" Target="consultantplus://offline/ref=03AED6AA07DB4155249B01FBD808E7DE3B140982D64B0D0879FDB0F51E781959CDE97E1B710B97FB641D03D04F36E1064AD03DEBD5EF346344678F96e7D9L" TargetMode = "External"/>
	<Relationship Id="rId616" Type="http://schemas.openxmlformats.org/officeDocument/2006/relationships/hyperlink" Target="consultantplus://offline/ref=03AED6AA07DB4155249B01FBD808E7DE3B140982D64B0D0879FDB0F51E781959CDE97E1B710B97FB641D03D04936E1064AD03DEBD5EF346344678F96e7D9L" TargetMode = "External"/>
	<Relationship Id="rId617" Type="http://schemas.openxmlformats.org/officeDocument/2006/relationships/hyperlink" Target="consultantplus://offline/ref=03AED6AA07DB4155249B01FBD808E7DE3B140982D64B0D0879FDB0F51E781959CDE97E1B710B97FB641D03D04A36E1064AD03DEBD5EF346344678F96e7D9L" TargetMode = "External"/>
	<Relationship Id="rId618" Type="http://schemas.openxmlformats.org/officeDocument/2006/relationships/hyperlink" Target="consultantplus://offline/ref=03AED6AA07DB4155249B01FBD808E7DE3B140982D64B0D0879FDB0F51E781959CDE97E1B710B97FB641D03D04B36E1064AD03DEBD5EF346344678F96e7D9L" TargetMode = "External"/>
	<Relationship Id="rId619" Type="http://schemas.openxmlformats.org/officeDocument/2006/relationships/hyperlink" Target="consultantplus://offline/ref=03AED6AA07DB4155249B01FBD808E7DE3B140982D64B0D0879FDB0F51E781959CDE97E1B710B97FB641D03D04436E1064AD03DEBD5EF346344678F96e7D9L" TargetMode = "External"/>
	<Relationship Id="rId620" Type="http://schemas.openxmlformats.org/officeDocument/2006/relationships/hyperlink" Target="consultantplus://offline/ref=03AED6AA07DB4155249B1FF6CE64B0D13919568FDC460F5D27A8B6A241281F0C8DA9784E324C9EF9651657830868B855089B31E8CDF33560e5D9L" TargetMode = "External"/>
	<Relationship Id="rId621" Type="http://schemas.openxmlformats.org/officeDocument/2006/relationships/hyperlink" Target="consultantplus://offline/ref=03AED6AA07DB4155249B01FBD808E7DE3B140982D64B0D0879FDB0F51E781959CDE97E1B710B97FB641D03D04536E1064AD03DEBD5EF346344678F96e7D9L" TargetMode = "External"/>
	<Relationship Id="rId622" Type="http://schemas.openxmlformats.org/officeDocument/2006/relationships/hyperlink" Target="consultantplus://offline/ref=03AED6AA07DB4155249B01FBD808E7DE3B140982D64B0D0879FDB0F51E781959CDE97E1B710B97FB641D03D14D36E1064AD03DEBD5EF346344678F96e7D9L" TargetMode = "External"/>
	<Relationship Id="rId623" Type="http://schemas.openxmlformats.org/officeDocument/2006/relationships/hyperlink" Target="consultantplus://offline/ref=03AED6AA07DB4155249B01FBD808E7DE3B140982D64B0D0879FDB0F51E781959CDE97E1B710B97FB641D03D14E36E1064AD03DEBD5EF346344678F96e7D9L" TargetMode = "External"/>
	<Relationship Id="rId624" Type="http://schemas.openxmlformats.org/officeDocument/2006/relationships/hyperlink" Target="consultantplus://offline/ref=03AED6AA07DB4155249B01FBD808E7DE3B140982D64B0D0879FDB0F51E781959CDE97E1B710B97FB641D03D14836E1064AD03DEBD5EF346344678F96e7D9L" TargetMode = "External"/>
	<Relationship Id="rId625" Type="http://schemas.openxmlformats.org/officeDocument/2006/relationships/hyperlink" Target="consultantplus://offline/ref=03AED6AA07DB4155249B01FBD808E7DE3B140982D64B0D0879FDB0F51E781959CDE97E1B710B97FB641D03D14A36E1064AD03DEBD5EF346344678F96e7D9L" TargetMode = "External"/>
	<Relationship Id="rId626" Type="http://schemas.openxmlformats.org/officeDocument/2006/relationships/hyperlink" Target="consultantplus://offline/ref=03AED6AA07DB4155249B01FBD808E7DE3B140982D64B0D0879FDB0F51E781959CDE97E1B710B97FB641D03D14536E1064AD03DEBD5EF346344678F96e7D9L" TargetMode = "External"/>
	<Relationship Id="rId627" Type="http://schemas.openxmlformats.org/officeDocument/2006/relationships/hyperlink" Target="consultantplus://offline/ref=03AED6AA07DB4155249B01FBD808E7DE3B140982D64B0D0879FDB0F51E781959CDE97E1B710B97FB641D03D64D36E1064AD03DEBD5EF346344678F96e7D9L" TargetMode = "External"/>
	<Relationship Id="rId628" Type="http://schemas.openxmlformats.org/officeDocument/2006/relationships/hyperlink" Target="consultantplus://offline/ref=03AED6AA07DB4155249B01FBD808E7DE3B140982D64B0D0879FDB0F51E781959CDE97E1B710B97FB641D03D64F36E1064AD03DEBD5EF346344678F96e7D9L" TargetMode = "External"/>
	<Relationship Id="rId629" Type="http://schemas.openxmlformats.org/officeDocument/2006/relationships/hyperlink" Target="consultantplus://offline/ref=03AED6AA07DB4155249B01FBD808E7DE3B140982D64B0D0879FDB0F51E781959CDE97E1B710B97FB641D03D64936E1064AD03DEBD5EF346344678F96e7D9L" TargetMode = "External"/>
	<Relationship Id="rId630" Type="http://schemas.openxmlformats.org/officeDocument/2006/relationships/hyperlink" Target="consultantplus://offline/ref=03AED6AA07DB4155249B01FBD808E7DE3B140982D64B0D0879FDB0F51E781959CDE97E1B710B97FB641D03D64A36E1064AD03DEBD5EF346344678F96e7D9L" TargetMode = "External"/>
	<Relationship Id="rId631" Type="http://schemas.openxmlformats.org/officeDocument/2006/relationships/hyperlink" Target="consultantplus://offline/ref=03AED6AA07DB4155249B01FBD808E7DE3B140982D64B0D0879FDB0F51E781959CDE97E1B710B97FB641D03D64B36E1064AD03DEBD5EF346344678F96e7D9L" TargetMode = "External"/>
	<Relationship Id="rId632" Type="http://schemas.openxmlformats.org/officeDocument/2006/relationships/hyperlink" Target="consultantplus://offline/ref=03AED6AA07DB4155249B01FBD808E7DE3B140982D64B0D0879FDB0F51E781959CDE97E1B710B97FB641D03D64536E1064AD03DEBD5EF346344678F96e7D9L" TargetMode = "External"/>
	<Relationship Id="rId633" Type="http://schemas.openxmlformats.org/officeDocument/2006/relationships/hyperlink" Target="consultantplus://offline/ref=03AED6AA07DB4155249B01FBD808E7DE3B140982D64B0D0879FDB0F51E781959CDE97E1B710B97FB641D03D74936E1064AD03DEBD5EF346344678F96e7D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24.12.2021 N 578-п
(ред. от 20.10.2023)
"О мерах по реализации государственной программы Ханты-Мансийского автономного округа - Югры "Поддержка занятости населения"
(вместе с "Порядком предоставления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осуществления переданных органам местного самоуправления муниципальных образований Ханты-Мансийского авто</dc:title>
  <dcterms:created xsi:type="dcterms:W3CDTF">2023-11-26T11:03:28Z</dcterms:created>
</cp:coreProperties>
</file>